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E2" w:rsidRPr="008720BD" w:rsidRDefault="00B92FE2" w:rsidP="00BB24A4">
      <w:pPr>
        <w:spacing w:after="0" w:line="240" w:lineRule="auto"/>
        <w:contextualSpacing/>
        <w:jc w:val="center"/>
        <w:rPr>
          <w:rFonts w:ascii="Tahoma" w:hAnsi="Tahoma" w:cs="Tahoma"/>
          <w:b/>
          <w:i/>
          <w:sz w:val="28"/>
          <w:lang w:val="id-ID"/>
        </w:rPr>
      </w:pPr>
      <w:r w:rsidRPr="008720BD">
        <w:rPr>
          <w:rFonts w:ascii="Tahoma" w:hAnsi="Tahoma" w:cs="Tahoma"/>
          <w:b/>
          <w:sz w:val="28"/>
          <w:lang w:val="id-ID"/>
        </w:rPr>
        <w:t>PENGARUH</w:t>
      </w:r>
      <w:r w:rsidR="00CE55B7" w:rsidRPr="008720BD">
        <w:rPr>
          <w:rFonts w:ascii="Tahoma" w:hAnsi="Tahoma" w:cs="Tahoma"/>
          <w:b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sz w:val="28"/>
          <w:lang w:val="id-ID"/>
        </w:rPr>
        <w:t>FAKTOR</w:t>
      </w:r>
      <w:r w:rsidR="00CE55B7" w:rsidRPr="008720BD">
        <w:rPr>
          <w:rFonts w:ascii="Tahoma" w:hAnsi="Tahoma" w:cs="Tahoma"/>
          <w:b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i/>
          <w:sz w:val="28"/>
          <w:lang w:val="id-ID"/>
        </w:rPr>
        <w:t>RISK</w:t>
      </w:r>
      <w:r w:rsidR="00CE55B7" w:rsidRPr="008720BD">
        <w:rPr>
          <w:rFonts w:ascii="Tahoma" w:hAnsi="Tahoma" w:cs="Tahoma"/>
          <w:b/>
          <w:i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i/>
          <w:sz w:val="28"/>
          <w:lang w:val="id-ID"/>
        </w:rPr>
        <w:t>PROFILES,</w:t>
      </w:r>
      <w:r w:rsidR="00CE55B7" w:rsidRPr="008720BD">
        <w:rPr>
          <w:rFonts w:ascii="Tahoma" w:hAnsi="Tahoma" w:cs="Tahoma"/>
          <w:b/>
          <w:i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i/>
          <w:sz w:val="28"/>
          <w:lang w:val="id-ID"/>
        </w:rPr>
        <w:t>GOOD</w:t>
      </w:r>
      <w:r w:rsidR="00CE55B7" w:rsidRPr="008720BD">
        <w:rPr>
          <w:rFonts w:ascii="Tahoma" w:hAnsi="Tahoma" w:cs="Tahoma"/>
          <w:b/>
          <w:i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i/>
          <w:sz w:val="28"/>
          <w:lang w:val="id-ID"/>
        </w:rPr>
        <w:t>CORPORATE</w:t>
      </w:r>
      <w:r w:rsidR="00CE55B7" w:rsidRPr="008720BD">
        <w:rPr>
          <w:rFonts w:ascii="Tahoma" w:hAnsi="Tahoma" w:cs="Tahoma"/>
          <w:b/>
          <w:i/>
          <w:sz w:val="28"/>
          <w:lang w:val="id-ID"/>
        </w:rPr>
        <w:t xml:space="preserve"> </w:t>
      </w:r>
    </w:p>
    <w:p w:rsidR="00B92FE2" w:rsidRDefault="00B92FE2" w:rsidP="00BB24A4">
      <w:pPr>
        <w:spacing w:after="0" w:line="240" w:lineRule="auto"/>
        <w:contextualSpacing/>
        <w:jc w:val="center"/>
        <w:rPr>
          <w:rFonts w:ascii="Tahoma" w:hAnsi="Tahoma" w:cs="Tahoma"/>
          <w:b/>
          <w:sz w:val="28"/>
        </w:rPr>
      </w:pPr>
      <w:r w:rsidRPr="008720BD">
        <w:rPr>
          <w:rFonts w:ascii="Tahoma" w:hAnsi="Tahoma" w:cs="Tahoma"/>
          <w:b/>
          <w:i/>
          <w:sz w:val="28"/>
          <w:lang w:val="id-ID"/>
        </w:rPr>
        <w:t>GOVERNANCE,</w:t>
      </w:r>
      <w:r w:rsidR="00CE55B7" w:rsidRPr="008720BD">
        <w:rPr>
          <w:rFonts w:ascii="Tahoma" w:hAnsi="Tahoma" w:cs="Tahoma"/>
          <w:b/>
          <w:i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i/>
          <w:sz w:val="28"/>
          <w:lang w:val="id-ID"/>
        </w:rPr>
        <w:t>EARNING,</w:t>
      </w:r>
      <w:r w:rsidR="00CE55B7" w:rsidRPr="008720BD">
        <w:rPr>
          <w:rFonts w:ascii="Tahoma" w:hAnsi="Tahoma" w:cs="Tahoma"/>
          <w:b/>
          <w:i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i/>
          <w:sz w:val="28"/>
          <w:lang w:val="id-ID"/>
        </w:rPr>
        <w:t>CAPITAL</w:t>
      </w:r>
      <w:r w:rsidR="00CE55B7" w:rsidRPr="008720BD">
        <w:rPr>
          <w:rFonts w:ascii="Tahoma" w:hAnsi="Tahoma" w:cs="Tahoma"/>
          <w:b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sz w:val="28"/>
          <w:lang w:val="id-ID"/>
        </w:rPr>
        <w:t>DAN</w:t>
      </w:r>
      <w:r w:rsidR="00CE55B7" w:rsidRPr="008720BD">
        <w:rPr>
          <w:rFonts w:ascii="Tahoma" w:hAnsi="Tahoma" w:cs="Tahoma"/>
          <w:b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sz w:val="28"/>
          <w:lang w:val="id-ID"/>
        </w:rPr>
        <w:t>JENIS</w:t>
      </w:r>
      <w:r w:rsidR="00CE55B7" w:rsidRPr="008720BD">
        <w:rPr>
          <w:rFonts w:ascii="Tahoma" w:hAnsi="Tahoma" w:cs="Tahoma"/>
          <w:b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sz w:val="28"/>
          <w:lang w:val="id-ID"/>
        </w:rPr>
        <w:t>BANK</w:t>
      </w:r>
      <w:r w:rsidR="00CE55B7" w:rsidRPr="008720BD">
        <w:rPr>
          <w:rFonts w:ascii="Tahoma" w:hAnsi="Tahoma" w:cs="Tahoma"/>
          <w:b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sz w:val="28"/>
          <w:lang w:val="id-ID"/>
        </w:rPr>
        <w:t>TERHADAP</w:t>
      </w:r>
      <w:r w:rsidR="00CE55B7" w:rsidRPr="008720BD">
        <w:rPr>
          <w:rFonts w:ascii="Tahoma" w:hAnsi="Tahoma" w:cs="Tahoma"/>
          <w:b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sz w:val="28"/>
          <w:lang w:val="id-ID"/>
        </w:rPr>
        <w:t>KINERJA</w:t>
      </w:r>
      <w:r w:rsidR="00CE55B7" w:rsidRPr="008720BD">
        <w:rPr>
          <w:rFonts w:ascii="Tahoma" w:hAnsi="Tahoma" w:cs="Tahoma"/>
          <w:b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sz w:val="28"/>
          <w:lang w:val="id-ID"/>
        </w:rPr>
        <w:t>KEUANGAN</w:t>
      </w:r>
      <w:r w:rsidR="00CE55B7" w:rsidRPr="008720BD">
        <w:rPr>
          <w:rFonts w:ascii="Tahoma" w:hAnsi="Tahoma" w:cs="Tahoma"/>
          <w:b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sz w:val="28"/>
          <w:lang w:val="id-ID"/>
        </w:rPr>
        <w:t>BANK</w:t>
      </w:r>
      <w:r w:rsidR="00CE55B7" w:rsidRPr="008720BD">
        <w:rPr>
          <w:rFonts w:ascii="Tahoma" w:hAnsi="Tahoma" w:cs="Tahoma"/>
          <w:b/>
          <w:sz w:val="28"/>
          <w:lang w:val="id-ID"/>
        </w:rPr>
        <w:t xml:space="preserve"> </w:t>
      </w:r>
      <w:r w:rsidRPr="008720BD">
        <w:rPr>
          <w:rFonts w:ascii="Tahoma" w:hAnsi="Tahoma" w:cs="Tahoma"/>
          <w:b/>
          <w:sz w:val="28"/>
          <w:lang w:val="id-ID"/>
        </w:rPr>
        <w:t>UMUM</w:t>
      </w:r>
    </w:p>
    <w:p w:rsidR="008720BD" w:rsidRPr="008720BD" w:rsidRDefault="008720BD" w:rsidP="00BB24A4">
      <w:pPr>
        <w:spacing w:after="0" w:line="240" w:lineRule="auto"/>
        <w:contextualSpacing/>
        <w:jc w:val="center"/>
        <w:rPr>
          <w:rFonts w:ascii="Tahoma" w:hAnsi="Tahoma" w:cs="Tahoma"/>
        </w:rPr>
      </w:pPr>
    </w:p>
    <w:p w:rsidR="008720BD" w:rsidRPr="008720BD" w:rsidRDefault="005415E8" w:rsidP="00BB24A4">
      <w:pPr>
        <w:spacing w:after="0" w:line="240" w:lineRule="auto"/>
        <w:contextualSpacing/>
        <w:jc w:val="center"/>
        <w:rPr>
          <w:rFonts w:ascii="Tahoma" w:hAnsi="Tahoma" w:cs="Tahoma"/>
        </w:rPr>
      </w:pPr>
      <w:r w:rsidRPr="008720BD">
        <w:rPr>
          <w:rFonts w:ascii="Tahoma" w:hAnsi="Tahoma" w:cs="Tahoma"/>
        </w:rPr>
        <w:t>Nurjannah</w:t>
      </w:r>
      <w:r w:rsidR="00CE55B7" w:rsidRPr="008720BD">
        <w:rPr>
          <w:rFonts w:ascii="Tahoma" w:hAnsi="Tahoma" w:cs="Tahoma"/>
        </w:rPr>
        <w:t xml:space="preserve"> </w:t>
      </w:r>
      <w:r w:rsidRPr="008720BD">
        <w:rPr>
          <w:rFonts w:ascii="Tahoma" w:hAnsi="Tahoma" w:cs="Tahoma"/>
        </w:rPr>
        <w:t>Endah</w:t>
      </w:r>
      <w:r w:rsidR="00CE55B7" w:rsidRPr="008720BD">
        <w:rPr>
          <w:rFonts w:ascii="Tahoma" w:hAnsi="Tahoma" w:cs="Tahoma"/>
        </w:rPr>
        <w:t xml:space="preserve"> </w:t>
      </w:r>
      <w:r w:rsidRPr="008720BD">
        <w:rPr>
          <w:rFonts w:ascii="Tahoma" w:hAnsi="Tahoma" w:cs="Tahoma"/>
        </w:rPr>
        <w:t>Rahayu</w:t>
      </w:r>
      <w:r w:rsidR="008720BD" w:rsidRPr="008720BD">
        <w:rPr>
          <w:rFonts w:ascii="Tahoma" w:hAnsi="Tahoma" w:cs="Tahoma"/>
          <w:vertAlign w:val="superscript"/>
        </w:rPr>
        <w:t>1</w:t>
      </w:r>
      <w:r w:rsidR="008720BD" w:rsidRPr="008720BD">
        <w:rPr>
          <w:rFonts w:ascii="Tahoma" w:hAnsi="Tahoma" w:cs="Tahoma"/>
        </w:rPr>
        <w:t xml:space="preserve">, </w:t>
      </w:r>
      <w:r w:rsidR="008720BD" w:rsidRPr="008720BD">
        <w:rPr>
          <w:rFonts w:ascii="Tahoma" w:hAnsi="Tahoma" w:cs="Tahoma"/>
          <w:lang w:val="id-ID"/>
        </w:rPr>
        <w:t>Izatunnafsi</w:t>
      </w:r>
      <w:r w:rsidR="008720BD" w:rsidRPr="008720BD">
        <w:rPr>
          <w:rFonts w:ascii="Tahoma" w:hAnsi="Tahoma" w:cs="Tahoma"/>
          <w:vertAlign w:val="superscript"/>
        </w:rPr>
        <w:t>2</w:t>
      </w:r>
      <w:r w:rsidR="008720BD" w:rsidRPr="008720BD">
        <w:rPr>
          <w:rFonts w:ascii="Tahoma" w:hAnsi="Tahoma" w:cs="Tahoma"/>
        </w:rPr>
        <w:t>,</w:t>
      </w:r>
      <w:r w:rsidR="008720BD" w:rsidRPr="008720BD">
        <w:rPr>
          <w:rFonts w:ascii="Tahoma" w:hAnsi="Tahoma" w:cs="Tahoma"/>
          <w:lang w:val="id-ID"/>
        </w:rPr>
        <w:t xml:space="preserve"> Sugiyanto</w:t>
      </w:r>
      <w:r w:rsidR="008720BD" w:rsidRPr="008720BD">
        <w:rPr>
          <w:rFonts w:ascii="Tahoma" w:hAnsi="Tahoma" w:cs="Tahoma"/>
          <w:vertAlign w:val="superscript"/>
        </w:rPr>
        <w:t>3</w:t>
      </w:r>
    </w:p>
    <w:p w:rsidR="005415E8" w:rsidRPr="008720BD" w:rsidRDefault="008720BD" w:rsidP="00BB24A4">
      <w:pPr>
        <w:spacing w:after="0" w:line="240" w:lineRule="auto"/>
        <w:contextualSpacing/>
        <w:jc w:val="center"/>
        <w:rPr>
          <w:rFonts w:ascii="Tahoma" w:hAnsi="Tahoma" w:cs="Tahoma"/>
        </w:rPr>
      </w:pPr>
      <w:r w:rsidRPr="008720BD">
        <w:rPr>
          <w:rFonts w:ascii="Tahoma" w:hAnsi="Tahoma" w:cs="Tahoma"/>
          <w:vertAlign w:val="superscript"/>
        </w:rPr>
        <w:t>1</w:t>
      </w:r>
      <w:proofErr w:type="gramStart"/>
      <w:r w:rsidRPr="008720BD">
        <w:rPr>
          <w:rFonts w:ascii="Tahoma" w:hAnsi="Tahoma" w:cs="Tahoma"/>
          <w:vertAlign w:val="superscript"/>
        </w:rPr>
        <w:t>,2,3</w:t>
      </w:r>
      <w:r w:rsidRPr="008720BD">
        <w:rPr>
          <w:rFonts w:ascii="Tahoma" w:hAnsi="Tahoma" w:cs="Tahoma"/>
        </w:rPr>
        <w:t>Fakultas</w:t>
      </w:r>
      <w:proofErr w:type="gramEnd"/>
      <w:r w:rsidRPr="008720BD">
        <w:rPr>
          <w:rFonts w:ascii="Tahoma" w:hAnsi="Tahoma" w:cs="Tahoma"/>
        </w:rPr>
        <w:t xml:space="preserve"> Ekonomi dan Bisnis Universitas Esa Unggul, Jakarta</w:t>
      </w:r>
    </w:p>
    <w:p w:rsidR="008720BD" w:rsidRPr="008720BD" w:rsidRDefault="008720BD" w:rsidP="00BB24A4">
      <w:pPr>
        <w:spacing w:after="0" w:line="240" w:lineRule="auto"/>
        <w:contextualSpacing/>
        <w:jc w:val="center"/>
        <w:rPr>
          <w:rFonts w:ascii="Tahoma" w:hAnsi="Tahoma" w:cs="Tahoma"/>
        </w:rPr>
      </w:pPr>
      <w:r w:rsidRPr="008720BD">
        <w:rPr>
          <w:rFonts w:ascii="Tahoma" w:hAnsi="Tahoma" w:cs="Tahoma"/>
        </w:rPr>
        <w:t>Jalan Arjuna Utara No 9 Kebon Jeruk Jakarta, 11510</w:t>
      </w:r>
    </w:p>
    <w:p w:rsidR="005415E8" w:rsidRPr="00706790" w:rsidRDefault="00FD642C" w:rsidP="00BB24A4">
      <w:pPr>
        <w:spacing w:after="0" w:line="240" w:lineRule="auto"/>
        <w:contextualSpacing/>
        <w:jc w:val="center"/>
        <w:rPr>
          <w:rFonts w:ascii="Tahoma" w:hAnsi="Tahoma" w:cs="Tahoma"/>
        </w:rPr>
      </w:pPr>
      <w:hyperlink r:id="rId8" w:history="1">
        <w:r w:rsidR="005415E8" w:rsidRPr="00706790">
          <w:rPr>
            <w:rStyle w:val="Hyperlink"/>
            <w:rFonts w:ascii="Tahoma" w:hAnsi="Tahoma" w:cs="Tahoma"/>
            <w:color w:val="auto"/>
            <w:u w:val="none"/>
          </w:rPr>
          <w:t>nurjannah.endah@esaunggul.ac.id</w:t>
        </w:r>
      </w:hyperlink>
      <w:r w:rsidR="00CE55B7" w:rsidRPr="00706790">
        <w:rPr>
          <w:rFonts w:ascii="Tahoma" w:hAnsi="Tahoma" w:cs="Tahoma"/>
        </w:rPr>
        <w:t xml:space="preserve"> </w:t>
      </w:r>
    </w:p>
    <w:p w:rsidR="008720BD" w:rsidRPr="008720BD" w:rsidRDefault="008720BD" w:rsidP="00BB24A4">
      <w:pPr>
        <w:spacing w:after="0" w:line="240" w:lineRule="auto"/>
        <w:contextualSpacing/>
        <w:jc w:val="center"/>
        <w:rPr>
          <w:rFonts w:ascii="Tahoma" w:hAnsi="Tahoma" w:cs="Tahoma"/>
        </w:rPr>
      </w:pPr>
    </w:p>
    <w:p w:rsidR="00B92FE2" w:rsidRPr="00CE55B7" w:rsidRDefault="008720BD" w:rsidP="00BB24A4">
      <w:pPr>
        <w:spacing w:after="0" w:line="240" w:lineRule="auto"/>
        <w:contextualSpacing/>
        <w:jc w:val="center"/>
        <w:rPr>
          <w:rFonts w:ascii="Tahoma" w:hAnsi="Tahoma" w:cs="Tahoma"/>
          <w:b/>
          <w:i/>
          <w:lang w:val="id-ID"/>
        </w:rPr>
      </w:pPr>
      <w:r w:rsidRPr="00CE55B7">
        <w:rPr>
          <w:rFonts w:ascii="Tahoma" w:hAnsi="Tahoma" w:cs="Tahoma"/>
          <w:b/>
          <w:i/>
          <w:lang w:val="id-ID"/>
        </w:rPr>
        <w:t>Abstract</w:t>
      </w:r>
    </w:p>
    <w:p w:rsidR="00B92FE2" w:rsidRPr="008720BD" w:rsidRDefault="00B92FE2" w:rsidP="00BB24A4">
      <w:pPr>
        <w:spacing w:after="0" w:line="240" w:lineRule="auto"/>
        <w:ind w:left="709" w:right="707"/>
        <w:contextualSpacing/>
        <w:jc w:val="both"/>
        <w:rPr>
          <w:rFonts w:ascii="Tahoma" w:hAnsi="Tahoma" w:cs="Tahoma"/>
          <w:i/>
          <w:sz w:val="20"/>
          <w:lang w:val="id-ID"/>
        </w:rPr>
      </w:pPr>
      <w:r w:rsidRPr="008720BD">
        <w:rPr>
          <w:rFonts w:ascii="Tahoma" w:hAnsi="Tahoma" w:cs="Tahoma"/>
          <w:i/>
          <w:sz w:val="20"/>
        </w:rPr>
        <w:t>This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research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aimed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to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know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and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analyze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the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influence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of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r</w:t>
      </w:r>
      <w:r w:rsidRPr="008720BD">
        <w:rPr>
          <w:rFonts w:ascii="Tahoma" w:hAnsi="Tahoma" w:cs="Tahoma"/>
          <w:i/>
          <w:sz w:val="20"/>
        </w:rPr>
        <w:t>isk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p</w:t>
      </w:r>
      <w:r w:rsidRPr="008720BD">
        <w:rPr>
          <w:rFonts w:ascii="Tahoma" w:hAnsi="Tahoma" w:cs="Tahoma"/>
          <w:i/>
          <w:sz w:val="20"/>
        </w:rPr>
        <w:t>rofile,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g</w:t>
      </w:r>
      <w:r w:rsidRPr="008720BD">
        <w:rPr>
          <w:rFonts w:ascii="Tahoma" w:hAnsi="Tahoma" w:cs="Tahoma"/>
          <w:i/>
          <w:sz w:val="20"/>
        </w:rPr>
        <w:t>ood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c</w:t>
      </w:r>
      <w:r w:rsidRPr="008720BD">
        <w:rPr>
          <w:rFonts w:ascii="Tahoma" w:hAnsi="Tahoma" w:cs="Tahoma"/>
          <w:i/>
          <w:sz w:val="20"/>
        </w:rPr>
        <w:t>orporate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g</w:t>
      </w:r>
      <w:r w:rsidRPr="008720BD">
        <w:rPr>
          <w:rFonts w:ascii="Tahoma" w:hAnsi="Tahoma" w:cs="Tahoma"/>
          <w:i/>
          <w:sz w:val="20"/>
        </w:rPr>
        <w:t>overnance,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earnings,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and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capital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to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financial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performance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</w:rPr>
        <w:t>of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conventional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and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sharia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b</w:t>
      </w:r>
      <w:r w:rsidRPr="008720BD">
        <w:rPr>
          <w:rFonts w:ascii="Tahoma" w:hAnsi="Tahoma" w:cs="Tahoma"/>
          <w:i/>
          <w:sz w:val="20"/>
        </w:rPr>
        <w:t>ank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listed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</w:rPr>
        <w:t>in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OJK.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In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this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research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financial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performance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measured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by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ROA.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Whereas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the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ratio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used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in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this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research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to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represent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the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components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of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RGEC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are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risk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profile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measured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by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NPL/NPF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and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LDR/FDR</w:t>
      </w:r>
      <w:r w:rsidRPr="008720BD">
        <w:rPr>
          <w:rFonts w:ascii="Tahoma" w:hAnsi="Tahoma" w:cs="Tahoma"/>
          <w:i/>
          <w:sz w:val="20"/>
        </w:rPr>
        <w:t>,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implementation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of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GCG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by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Disclosure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Corporate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Governance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Index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(DCGI)</w:t>
      </w:r>
      <w:r w:rsidRPr="008720BD">
        <w:rPr>
          <w:rFonts w:ascii="Tahoma" w:hAnsi="Tahoma" w:cs="Tahoma"/>
          <w:i/>
          <w:sz w:val="20"/>
        </w:rPr>
        <w:t>,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earnings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by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NIM/NOM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and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BOPO</w:t>
      </w:r>
      <w:r w:rsidRPr="008720BD">
        <w:rPr>
          <w:rFonts w:ascii="Tahoma" w:hAnsi="Tahoma" w:cs="Tahoma"/>
          <w:i/>
          <w:sz w:val="20"/>
        </w:rPr>
        <w:t>,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and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capital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by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CAR.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The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sampling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used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is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purposive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sampling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methode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with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number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of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research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samples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are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40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bank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consisting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of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31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conventional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bank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and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9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sharia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bank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listed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in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OJK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</w:rPr>
        <w:t>from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201</w:t>
      </w:r>
      <w:r w:rsidRPr="008720BD">
        <w:rPr>
          <w:rFonts w:ascii="Tahoma" w:hAnsi="Tahoma" w:cs="Tahoma"/>
          <w:i/>
          <w:sz w:val="20"/>
          <w:lang w:val="id-ID"/>
        </w:rPr>
        <w:t>2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to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201</w:t>
      </w:r>
      <w:r w:rsidRPr="008720BD">
        <w:rPr>
          <w:rFonts w:ascii="Tahoma" w:hAnsi="Tahoma" w:cs="Tahoma"/>
          <w:i/>
          <w:sz w:val="20"/>
          <w:lang w:val="id-ID"/>
        </w:rPr>
        <w:t>6</w:t>
      </w:r>
      <w:r w:rsidRPr="008720BD">
        <w:rPr>
          <w:rFonts w:ascii="Tahoma" w:hAnsi="Tahoma" w:cs="Tahoma"/>
          <w:i/>
          <w:sz w:val="20"/>
        </w:rPr>
        <w:t>.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The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data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</w:rPr>
        <w:t>analysis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techniques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used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in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this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research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is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multiple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linear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regression.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The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results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of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this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research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show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that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all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independent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variabel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have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collectively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significant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efecct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to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ROA</w:t>
      </w:r>
      <w:r w:rsidRPr="008720BD">
        <w:rPr>
          <w:rFonts w:ascii="Tahoma" w:hAnsi="Tahoma" w:cs="Tahoma"/>
          <w:i/>
          <w:sz w:val="20"/>
        </w:rPr>
        <w:t>.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Partially,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NPL</w:t>
      </w:r>
      <w:r w:rsidRPr="008720BD">
        <w:rPr>
          <w:rFonts w:ascii="Tahoma" w:hAnsi="Tahoma" w:cs="Tahoma"/>
          <w:i/>
          <w:sz w:val="20"/>
          <w:lang w:val="id-ID"/>
        </w:rPr>
        <w:t>/NPF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and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NIM/NOM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have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positive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</w:rPr>
        <w:t>significant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effect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to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ROA.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LDR/FDR,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GCG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and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</w:rPr>
        <w:t>BO</w:t>
      </w:r>
      <w:r w:rsidRPr="008720BD">
        <w:rPr>
          <w:rFonts w:ascii="Tahoma" w:hAnsi="Tahoma" w:cs="Tahoma"/>
          <w:i/>
          <w:sz w:val="20"/>
          <w:lang w:val="id-ID"/>
        </w:rPr>
        <w:t>PO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have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negative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significant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effect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to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ROA.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</w:rPr>
        <w:t>However,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CAR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proofErr w:type="gramStart"/>
      <w:r w:rsidRPr="008720BD">
        <w:rPr>
          <w:rFonts w:ascii="Tahoma" w:hAnsi="Tahoma" w:cs="Tahoma"/>
          <w:i/>
          <w:sz w:val="20"/>
        </w:rPr>
        <w:t>don’t</w:t>
      </w:r>
      <w:proofErr w:type="gramEnd"/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affect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ROA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significantly.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And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from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the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results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of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data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analysis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show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that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ROA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in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conventional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bank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is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lower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than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in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sharia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bank.</w:t>
      </w:r>
    </w:p>
    <w:p w:rsidR="00B33D0B" w:rsidRDefault="00B33D0B" w:rsidP="00BB24A4">
      <w:pPr>
        <w:spacing w:after="0" w:line="240" w:lineRule="auto"/>
        <w:ind w:left="709" w:right="707"/>
        <w:contextualSpacing/>
        <w:jc w:val="both"/>
        <w:rPr>
          <w:rFonts w:ascii="Tahoma" w:hAnsi="Tahoma" w:cs="Tahoma"/>
          <w:b/>
          <w:i/>
          <w:sz w:val="20"/>
        </w:rPr>
      </w:pPr>
    </w:p>
    <w:p w:rsidR="00882D81" w:rsidRDefault="00B92FE2" w:rsidP="00BB24A4">
      <w:pPr>
        <w:spacing w:after="0" w:line="240" w:lineRule="auto"/>
        <w:ind w:left="709" w:right="707"/>
        <w:contextualSpacing/>
        <w:jc w:val="both"/>
        <w:rPr>
          <w:rFonts w:ascii="Tahoma" w:hAnsi="Tahoma" w:cs="Tahoma"/>
          <w:i/>
          <w:sz w:val="20"/>
        </w:rPr>
      </w:pPr>
      <w:proofErr w:type="gramStart"/>
      <w:r w:rsidRPr="00E42308">
        <w:rPr>
          <w:rFonts w:ascii="Tahoma" w:hAnsi="Tahoma" w:cs="Tahoma"/>
          <w:b/>
          <w:i/>
          <w:sz w:val="20"/>
        </w:rPr>
        <w:t>Key</w:t>
      </w:r>
      <w:r w:rsidR="008720BD" w:rsidRPr="00E42308">
        <w:rPr>
          <w:rFonts w:ascii="Tahoma" w:hAnsi="Tahoma" w:cs="Tahoma"/>
          <w:b/>
          <w:i/>
          <w:sz w:val="20"/>
        </w:rPr>
        <w:t>w</w:t>
      </w:r>
      <w:r w:rsidRPr="00E42308">
        <w:rPr>
          <w:rFonts w:ascii="Tahoma" w:hAnsi="Tahoma" w:cs="Tahoma"/>
          <w:b/>
          <w:i/>
          <w:sz w:val="20"/>
        </w:rPr>
        <w:t>ords</w:t>
      </w:r>
      <w:r w:rsidR="00CE55B7" w:rsidRPr="008720BD">
        <w:rPr>
          <w:rFonts w:ascii="Tahoma" w:hAnsi="Tahoma" w:cs="Tahoma"/>
          <w:i/>
          <w:sz w:val="20"/>
        </w:rPr>
        <w:t xml:space="preserve"> </w:t>
      </w:r>
      <w:r w:rsidRPr="008720BD">
        <w:rPr>
          <w:rFonts w:ascii="Tahoma" w:hAnsi="Tahoma" w:cs="Tahoma"/>
          <w:i/>
          <w:sz w:val="20"/>
        </w:rPr>
        <w:t>:</w:t>
      </w:r>
      <w:r w:rsidRPr="008720BD">
        <w:rPr>
          <w:rFonts w:ascii="Tahoma" w:hAnsi="Tahoma" w:cs="Tahoma"/>
          <w:i/>
          <w:sz w:val="20"/>
          <w:lang w:val="id-ID"/>
        </w:rPr>
        <w:t>RGEC</w:t>
      </w:r>
      <w:proofErr w:type="gramEnd"/>
      <w:r w:rsidRPr="008720BD">
        <w:rPr>
          <w:rFonts w:ascii="Tahoma" w:hAnsi="Tahoma" w:cs="Tahoma"/>
          <w:i/>
          <w:sz w:val="20"/>
          <w:lang w:val="id-ID"/>
        </w:rPr>
        <w:t>,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ROA,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NPL/NPF,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LDR/FDR,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G</w:t>
      </w:r>
      <w:r w:rsidR="009B1F74" w:rsidRPr="008720BD">
        <w:rPr>
          <w:rFonts w:ascii="Tahoma" w:hAnsi="Tahoma" w:cs="Tahoma"/>
          <w:i/>
          <w:sz w:val="20"/>
          <w:lang w:val="id-ID"/>
        </w:rPr>
        <w:t>CG,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="009B1F74" w:rsidRPr="008720BD">
        <w:rPr>
          <w:rFonts w:ascii="Tahoma" w:hAnsi="Tahoma" w:cs="Tahoma"/>
          <w:i/>
          <w:sz w:val="20"/>
          <w:lang w:val="id-ID"/>
        </w:rPr>
        <w:t>NIM/NOM,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="009B1F74" w:rsidRPr="008720BD">
        <w:rPr>
          <w:rFonts w:ascii="Tahoma" w:hAnsi="Tahoma" w:cs="Tahoma"/>
          <w:i/>
          <w:sz w:val="20"/>
          <w:lang w:val="id-ID"/>
        </w:rPr>
        <w:t>BOPO,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="009B1F74" w:rsidRPr="008720BD">
        <w:rPr>
          <w:rFonts w:ascii="Tahoma" w:hAnsi="Tahoma" w:cs="Tahoma"/>
          <w:i/>
          <w:sz w:val="20"/>
          <w:lang w:val="id-ID"/>
        </w:rPr>
        <w:t>CAR,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="009B1F74" w:rsidRPr="008720BD">
        <w:rPr>
          <w:rFonts w:ascii="Tahoma" w:hAnsi="Tahoma" w:cs="Tahoma"/>
          <w:i/>
          <w:sz w:val="20"/>
          <w:lang w:val="id-ID"/>
        </w:rPr>
        <w:t>Type</w:t>
      </w:r>
      <w:r w:rsidR="008720BD">
        <w:rPr>
          <w:rFonts w:ascii="Tahoma" w:hAnsi="Tahoma" w:cs="Tahoma"/>
          <w:i/>
          <w:sz w:val="20"/>
        </w:rPr>
        <w:t xml:space="preserve"> 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of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Pr="008720BD">
        <w:rPr>
          <w:rFonts w:ascii="Tahoma" w:hAnsi="Tahoma" w:cs="Tahoma"/>
          <w:i/>
          <w:sz w:val="20"/>
          <w:lang w:val="id-ID"/>
        </w:rPr>
        <w:t>Bank,</w:t>
      </w:r>
      <w:r w:rsidR="00CE55B7" w:rsidRPr="008720BD">
        <w:rPr>
          <w:rFonts w:ascii="Tahoma" w:hAnsi="Tahoma" w:cs="Tahoma"/>
          <w:i/>
          <w:sz w:val="20"/>
          <w:lang w:val="id-ID"/>
        </w:rPr>
        <w:t xml:space="preserve"> </w:t>
      </w:r>
      <w:r w:rsidR="008720BD">
        <w:rPr>
          <w:rFonts w:ascii="Tahoma" w:hAnsi="Tahoma" w:cs="Tahoma"/>
          <w:i/>
          <w:sz w:val="20"/>
          <w:lang w:val="id-ID"/>
        </w:rPr>
        <w:t>OJK</w:t>
      </w:r>
    </w:p>
    <w:p w:rsidR="008720BD" w:rsidRPr="008720BD" w:rsidRDefault="008720BD" w:rsidP="00BB24A4">
      <w:pPr>
        <w:spacing w:after="0" w:line="240" w:lineRule="auto"/>
        <w:ind w:left="709" w:right="707"/>
        <w:contextualSpacing/>
        <w:jc w:val="center"/>
        <w:rPr>
          <w:rFonts w:ascii="Tahoma" w:hAnsi="Tahoma" w:cs="Tahoma"/>
          <w:b/>
        </w:rPr>
      </w:pPr>
      <w:r w:rsidRPr="008720BD">
        <w:rPr>
          <w:rFonts w:ascii="Tahoma" w:hAnsi="Tahoma" w:cs="Tahoma"/>
          <w:b/>
        </w:rPr>
        <w:t>Abstrak</w:t>
      </w:r>
    </w:p>
    <w:p w:rsidR="008720BD" w:rsidRDefault="008720BD" w:rsidP="00BB24A4">
      <w:pPr>
        <w:spacing w:after="0" w:line="240" w:lineRule="auto"/>
        <w:ind w:left="709" w:right="707"/>
        <w:contextualSpacing/>
        <w:jc w:val="both"/>
        <w:rPr>
          <w:rFonts w:ascii="Tahoma" w:hAnsi="Tahoma" w:cs="Tahoma"/>
          <w:sz w:val="20"/>
        </w:rPr>
      </w:pPr>
      <w:proofErr w:type="gramStart"/>
      <w:r w:rsidRPr="008720BD">
        <w:rPr>
          <w:rFonts w:ascii="Tahoma" w:hAnsi="Tahoma" w:cs="Tahoma"/>
          <w:sz w:val="20"/>
        </w:rPr>
        <w:t>Penelitian ini bertujuan untuk mengetahui dan menganalisis pengaruh profil risiko, good corporate governance, earnings, dan capital terhadap kinerja keuangan bank konvensional dan syariah yang terdaftar di OJK.</w:t>
      </w:r>
      <w:proofErr w:type="gramEnd"/>
      <w:r w:rsidRPr="008720BD">
        <w:rPr>
          <w:rFonts w:ascii="Tahoma" w:hAnsi="Tahoma" w:cs="Tahoma"/>
          <w:sz w:val="20"/>
        </w:rPr>
        <w:t xml:space="preserve"> </w:t>
      </w:r>
      <w:proofErr w:type="gramStart"/>
      <w:r w:rsidRPr="008720BD">
        <w:rPr>
          <w:rFonts w:ascii="Tahoma" w:hAnsi="Tahoma" w:cs="Tahoma"/>
          <w:sz w:val="20"/>
        </w:rPr>
        <w:t>Dalam penelitian ini kinerja keuangan diukur dengan ROA.</w:t>
      </w:r>
      <w:proofErr w:type="gramEnd"/>
      <w:r w:rsidRPr="008720BD">
        <w:rPr>
          <w:rFonts w:ascii="Tahoma" w:hAnsi="Tahoma" w:cs="Tahoma"/>
          <w:sz w:val="20"/>
        </w:rPr>
        <w:t xml:space="preserve"> Sedangkan rasio yang digunakan dalam penelitian ini untuk merepresentasikan komponen RGEC adalah profil risiko yang diukur oleh NPL / NPF dan LDR / FDR, penerapan GCG oleh Disclosure Corporate Governance Index (DCGI), pendapatan oleh NIM / NOM dan BOPO, dan modal oleh CAR . Sampel yang digunakan adalah metode purposive sampling dengan jumlah sampel penelitian adalah 40 bank yang terdiri dari 31 bank konvensional dan 9 bank syariah yang terdaftar di OJK dari tahun 2012 hingga 2016. </w:t>
      </w:r>
      <w:proofErr w:type="gramStart"/>
      <w:r w:rsidRPr="008720BD">
        <w:rPr>
          <w:rFonts w:ascii="Tahoma" w:hAnsi="Tahoma" w:cs="Tahoma"/>
          <w:sz w:val="20"/>
        </w:rPr>
        <w:t>Teknik analisis data yang digunakan dalam penelitian ini adalah regresi linier berganda.</w:t>
      </w:r>
      <w:proofErr w:type="gramEnd"/>
      <w:r w:rsidRPr="008720BD">
        <w:rPr>
          <w:rFonts w:ascii="Tahoma" w:hAnsi="Tahoma" w:cs="Tahoma"/>
          <w:sz w:val="20"/>
        </w:rPr>
        <w:t xml:space="preserve"> </w:t>
      </w:r>
      <w:proofErr w:type="gramStart"/>
      <w:r w:rsidRPr="008720BD">
        <w:rPr>
          <w:rFonts w:ascii="Tahoma" w:hAnsi="Tahoma" w:cs="Tahoma"/>
          <w:sz w:val="20"/>
        </w:rPr>
        <w:t>Hasil penelitian ini menunjukkan bahwa semua variabel independen memiliki pengaruh yang signifikan secara signifikan terhadap ROA.</w:t>
      </w:r>
      <w:proofErr w:type="gramEnd"/>
      <w:r w:rsidRPr="008720BD">
        <w:rPr>
          <w:rFonts w:ascii="Tahoma" w:hAnsi="Tahoma" w:cs="Tahoma"/>
          <w:sz w:val="20"/>
        </w:rPr>
        <w:t xml:space="preserve"> </w:t>
      </w:r>
      <w:proofErr w:type="gramStart"/>
      <w:r w:rsidRPr="008720BD">
        <w:rPr>
          <w:rFonts w:ascii="Tahoma" w:hAnsi="Tahoma" w:cs="Tahoma"/>
          <w:sz w:val="20"/>
        </w:rPr>
        <w:t>Secara parsial, NPL / NPF dan NIM / NOM memiliki pengaruh signifikan positif terhadap ROA.</w:t>
      </w:r>
      <w:proofErr w:type="gramEnd"/>
      <w:r w:rsidRPr="008720BD">
        <w:rPr>
          <w:rFonts w:ascii="Tahoma" w:hAnsi="Tahoma" w:cs="Tahoma"/>
          <w:sz w:val="20"/>
        </w:rPr>
        <w:t xml:space="preserve"> </w:t>
      </w:r>
      <w:proofErr w:type="gramStart"/>
      <w:r w:rsidRPr="008720BD">
        <w:rPr>
          <w:rFonts w:ascii="Tahoma" w:hAnsi="Tahoma" w:cs="Tahoma"/>
          <w:sz w:val="20"/>
        </w:rPr>
        <w:t>LDR / FDR, GCG dan BOPO memiliki pengaruh negatif yang signifikan terhadap ROA.</w:t>
      </w:r>
      <w:proofErr w:type="gramEnd"/>
      <w:r w:rsidRPr="008720BD">
        <w:rPr>
          <w:rFonts w:ascii="Tahoma" w:hAnsi="Tahoma" w:cs="Tahoma"/>
          <w:sz w:val="20"/>
        </w:rPr>
        <w:t xml:space="preserve"> </w:t>
      </w:r>
      <w:proofErr w:type="gramStart"/>
      <w:r w:rsidRPr="008720BD">
        <w:rPr>
          <w:rFonts w:ascii="Tahoma" w:hAnsi="Tahoma" w:cs="Tahoma"/>
          <w:sz w:val="20"/>
        </w:rPr>
        <w:t>Namun, CAR tidak memengaruhi ROA secara signifikan.</w:t>
      </w:r>
      <w:proofErr w:type="gramEnd"/>
      <w:r w:rsidRPr="008720BD">
        <w:rPr>
          <w:rFonts w:ascii="Tahoma" w:hAnsi="Tahoma" w:cs="Tahoma"/>
          <w:sz w:val="20"/>
        </w:rPr>
        <w:t xml:space="preserve"> </w:t>
      </w:r>
      <w:proofErr w:type="gramStart"/>
      <w:r w:rsidRPr="008720BD">
        <w:rPr>
          <w:rFonts w:ascii="Tahoma" w:hAnsi="Tahoma" w:cs="Tahoma"/>
          <w:sz w:val="20"/>
        </w:rPr>
        <w:t>Dan dari hasil analisis data menunjukkan bahwa ROA pada bank konvensional lebih rendah daripada di bank syariah.</w:t>
      </w:r>
      <w:proofErr w:type="gramEnd"/>
    </w:p>
    <w:p w:rsidR="00E42308" w:rsidRDefault="00E42308" w:rsidP="00BB24A4">
      <w:pPr>
        <w:spacing w:after="0" w:line="240" w:lineRule="auto"/>
        <w:ind w:left="709" w:right="707"/>
        <w:contextualSpacing/>
        <w:jc w:val="both"/>
        <w:rPr>
          <w:rFonts w:ascii="Tahoma" w:hAnsi="Tahoma" w:cs="Tahoma"/>
          <w:sz w:val="20"/>
        </w:rPr>
      </w:pPr>
    </w:p>
    <w:p w:rsidR="00E42308" w:rsidRPr="008720BD" w:rsidRDefault="00E42308" w:rsidP="00BB24A4">
      <w:pPr>
        <w:spacing w:after="0" w:line="240" w:lineRule="auto"/>
        <w:ind w:left="709" w:right="707"/>
        <w:contextualSpacing/>
        <w:jc w:val="both"/>
        <w:rPr>
          <w:rFonts w:ascii="Tahoma" w:hAnsi="Tahoma" w:cs="Tahoma"/>
          <w:sz w:val="20"/>
        </w:rPr>
      </w:pPr>
      <w:r w:rsidRPr="00E42308">
        <w:rPr>
          <w:rFonts w:ascii="Tahoma" w:hAnsi="Tahoma" w:cs="Tahoma"/>
          <w:b/>
          <w:sz w:val="20"/>
        </w:rPr>
        <w:t xml:space="preserve">Kata </w:t>
      </w:r>
      <w:proofErr w:type="gramStart"/>
      <w:r w:rsidRPr="00E42308">
        <w:rPr>
          <w:rFonts w:ascii="Tahoma" w:hAnsi="Tahoma" w:cs="Tahoma"/>
          <w:b/>
          <w:sz w:val="20"/>
        </w:rPr>
        <w:t>kunci</w:t>
      </w:r>
      <w:r>
        <w:rPr>
          <w:rFonts w:ascii="Tahoma" w:hAnsi="Tahoma" w:cs="Tahoma"/>
          <w:sz w:val="20"/>
        </w:rPr>
        <w:t xml:space="preserve"> :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E42308">
        <w:rPr>
          <w:rFonts w:ascii="Tahoma" w:hAnsi="Tahoma" w:cs="Tahoma"/>
          <w:sz w:val="20"/>
        </w:rPr>
        <w:t>RGEC, ROA, NPL / NPF, LDR / FDR, GCG, NIM / NOM, BOPO, CAR, Jenis Bank, OJK</w:t>
      </w:r>
    </w:p>
    <w:p w:rsidR="00F95E11" w:rsidRPr="00CE55B7" w:rsidRDefault="00F95E11" w:rsidP="00BB24A4">
      <w:pPr>
        <w:spacing w:after="0" w:line="240" w:lineRule="auto"/>
        <w:ind w:firstLine="720"/>
        <w:contextualSpacing/>
        <w:jc w:val="center"/>
        <w:rPr>
          <w:rFonts w:ascii="Tahoma" w:hAnsi="Tahoma" w:cs="Tahoma"/>
          <w:i/>
          <w:lang w:val="id-ID"/>
        </w:rPr>
      </w:pPr>
    </w:p>
    <w:p w:rsidR="009E3B0A" w:rsidRDefault="009E3B0A" w:rsidP="00BB24A4">
      <w:pPr>
        <w:spacing w:after="0" w:line="240" w:lineRule="auto"/>
        <w:contextualSpacing/>
        <w:rPr>
          <w:rFonts w:ascii="Tahoma" w:hAnsi="Tahoma" w:cs="Tahoma"/>
          <w:b/>
          <w:lang w:val="id-ID"/>
        </w:rPr>
        <w:sectPr w:rsidR="009E3B0A" w:rsidSect="0057524C">
          <w:headerReference w:type="default" r:id="rId9"/>
          <w:footerReference w:type="default" r:id="rId10"/>
          <w:pgSz w:w="11906" w:h="16838" w:code="9"/>
          <w:pgMar w:top="1134" w:right="1134" w:bottom="1134" w:left="1134" w:header="709" w:footer="709" w:gutter="0"/>
          <w:pgNumType w:start="102"/>
          <w:cols w:space="708"/>
          <w:docGrid w:linePitch="360"/>
        </w:sectPr>
      </w:pPr>
    </w:p>
    <w:p w:rsidR="0090263B" w:rsidRPr="00FB177A" w:rsidRDefault="008720BD" w:rsidP="00BB24A4">
      <w:pPr>
        <w:spacing w:after="0" w:line="240" w:lineRule="auto"/>
        <w:contextualSpacing/>
        <w:rPr>
          <w:rFonts w:ascii="Tahoma" w:hAnsi="Tahoma" w:cs="Tahoma"/>
          <w:b/>
          <w:sz w:val="24"/>
          <w:lang w:val="id-ID"/>
        </w:rPr>
      </w:pPr>
      <w:r w:rsidRPr="00FB177A">
        <w:rPr>
          <w:rFonts w:ascii="Tahoma" w:hAnsi="Tahoma" w:cs="Tahoma"/>
          <w:b/>
          <w:sz w:val="24"/>
          <w:lang w:val="id-ID"/>
        </w:rPr>
        <w:lastRenderedPageBreak/>
        <w:t>Pendahuluan</w:t>
      </w:r>
    </w:p>
    <w:p w:rsidR="00C92680" w:rsidRPr="00CE55B7" w:rsidRDefault="00C92680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Perkembangan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jumlah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hingga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2016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mengalami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penurunan.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Meskipun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keseluruhan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jumlah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menurun,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namun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jumlah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justru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mengalami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peningkatan,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menjadi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13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2016.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justru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mengalami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penurunan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jumlah,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semula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120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menjadi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103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2016.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dikarenakan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sejumlah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mampu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lagi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beroperasi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sehingga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memutuskan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gulung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tikar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merger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Namun,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perkembangan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jumlah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kantor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maupun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keduanya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mengalami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peningkatan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penurunan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tahunnya.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semakin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kompleksnya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perkembangan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dunia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terlihat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perkembangan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jumlah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macam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produk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ditawarkan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sistem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usaha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keunggulan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kompetitif,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keadaan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menciptakan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sistem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pesaing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baru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dunia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paling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mencolok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dua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sistem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pengembalian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nasabah,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sistem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bunga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sistem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bagi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keduanya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berasal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dua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berbeda.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memberlakukan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sistem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bunga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sistem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bagi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hasil.</w:t>
      </w:r>
    </w:p>
    <w:p w:rsidR="00C92680" w:rsidRPr="00CE55B7" w:rsidRDefault="00C92680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Sistem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bagi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</w:t>
      </w:r>
      <w:bookmarkStart w:id="0" w:name="_GoBack"/>
      <w:bookmarkEnd w:id="0"/>
      <w:r w:rsidRPr="00CE55B7">
        <w:rPr>
          <w:rFonts w:ascii="Tahoma" w:hAnsi="Tahoma" w:cs="Tahoma"/>
          <w:lang w:val="id-ID"/>
        </w:rPr>
        <w:t>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diterapkan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relatif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mempertahankan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hanyut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suku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bunga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simpanan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melonjak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sehingga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beban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operasional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rendah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konvensional.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efektivitas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fungsi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intermediasi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tetap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terjaga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seiring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pertumbuhan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dihimpun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maupunpembiayaan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relatif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tinggi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dibandingkanperbankan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nasional,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penyediaan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akses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jaringan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menjangkau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kebutuhan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masyarakat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luas.</w:t>
      </w:r>
      <w:r w:rsidR="00CE55B7">
        <w:rPr>
          <w:rFonts w:ascii="Tahoma" w:hAnsi="Tahoma" w:cs="Tahoma"/>
          <w:lang w:val="id-ID"/>
        </w:rPr>
        <w:t xml:space="preserve"> </w:t>
      </w:r>
      <w:r w:rsidR="003343BD" w:rsidRPr="00CE55B7">
        <w:rPr>
          <w:rFonts w:ascii="Tahoma" w:hAnsi="Tahoma" w:cs="Tahoma"/>
        </w:rPr>
        <w:t>Bagi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selisih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besarnya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bunga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dikenakan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peminjam</w:t>
      </w:r>
      <w:r w:rsidR="00CE55B7">
        <w:rPr>
          <w:rFonts w:ascii="Tahoma" w:hAnsi="Tahoma" w:cs="Tahoma"/>
          <w:lang w:val="id-ID"/>
        </w:rPr>
        <w:t xml:space="preserve"> </w:t>
      </w:r>
      <w:proofErr w:type="gramStart"/>
      <w:r w:rsidRPr="00CE55B7">
        <w:rPr>
          <w:rFonts w:ascii="Tahoma" w:hAnsi="Tahoma" w:cs="Tahoma"/>
          <w:lang w:val="id-ID"/>
        </w:rPr>
        <w:t>dana</w:t>
      </w:r>
      <w:proofErr w:type="gramEnd"/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imbalan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bunga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diberikan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nasabah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penyimpan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merupakan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sumber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keuntungan</w:t>
      </w:r>
      <w:r w:rsidR="00CE55B7">
        <w:rPr>
          <w:rFonts w:ascii="Tahoma" w:hAnsi="Tahoma" w:cs="Tahoma"/>
        </w:rPr>
        <w:t xml:space="preserve"> </w:t>
      </w:r>
      <w:r w:rsidR="003343BD" w:rsidRPr="00CE55B7">
        <w:rPr>
          <w:rFonts w:ascii="Tahoma" w:hAnsi="Tahoma" w:cs="Tahoma"/>
          <w:lang w:val="id-ID"/>
        </w:rPr>
        <w:t>terbesa</w:t>
      </w:r>
      <w:r w:rsidR="003343BD" w:rsidRPr="00CE55B7">
        <w:rPr>
          <w:rFonts w:ascii="Tahoma" w:hAnsi="Tahoma" w:cs="Tahoma"/>
        </w:rPr>
        <w:t>r</w:t>
      </w:r>
      <w:r w:rsidRPr="00CE55B7">
        <w:rPr>
          <w:rFonts w:ascii="Tahoma" w:hAnsi="Tahoma" w:cs="Tahoma"/>
          <w:lang w:val="id-ID"/>
        </w:rPr>
        <w:t>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menjadi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perbedaan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pokok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syari’ah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meningkatkankinerja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keuangannya.</w:t>
      </w:r>
    </w:p>
    <w:p w:rsidR="00C92680" w:rsidRPr="00CE55B7" w:rsidRDefault="00C92680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melalui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Surat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Edaran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Peraturan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menetapkan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metode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acuan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industri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kesehatannya.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2004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menetapkan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metode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CAMELS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metode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mengukur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kesehatan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tertuang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Peraturan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nomor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6/10/PBI/2004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tanggal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April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2004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ketentuan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pelaksanaannya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sesuai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Surat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Edaran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No.6/23/DPNP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tanggal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31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2004.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Semua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komponen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CAMELS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2004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mengarah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ukuran-ukuran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perusahaan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internal,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mulai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Capital</w:t>
      </w:r>
      <w:r w:rsidRPr="00CE55B7">
        <w:rPr>
          <w:rFonts w:ascii="Tahoma" w:hAnsi="Tahoma" w:cs="Tahoma"/>
          <w:lang w:val="id-ID"/>
        </w:rPr>
        <w:t>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Asset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Quality</w:t>
      </w:r>
      <w:r w:rsidRPr="00CE55B7">
        <w:rPr>
          <w:rFonts w:ascii="Tahoma" w:hAnsi="Tahoma" w:cs="Tahoma"/>
          <w:lang w:val="id-ID"/>
        </w:rPr>
        <w:t>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Management</w:t>
      </w:r>
      <w:r w:rsidRPr="00CE55B7">
        <w:rPr>
          <w:rFonts w:ascii="Tahoma" w:hAnsi="Tahoma" w:cs="Tahoma"/>
          <w:lang w:val="id-ID"/>
        </w:rPr>
        <w:t>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Earning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Power</w:t>
      </w:r>
      <w:r w:rsidRPr="00CE55B7">
        <w:rPr>
          <w:rFonts w:ascii="Tahoma" w:hAnsi="Tahoma" w:cs="Tahoma"/>
          <w:lang w:val="id-ID"/>
        </w:rPr>
        <w:t>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Liquidity</w:t>
      </w:r>
      <w:r w:rsidRPr="00CE55B7">
        <w:rPr>
          <w:rFonts w:ascii="Tahoma" w:hAnsi="Tahoma" w:cs="Tahoma"/>
          <w:lang w:val="id-ID"/>
        </w:rPr>
        <w:t>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Sensitivity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to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Market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Risk</w:t>
      </w:r>
      <w:r w:rsidRPr="00CE55B7">
        <w:rPr>
          <w:rFonts w:ascii="Tahoma" w:hAnsi="Tahoma" w:cs="Tahoma"/>
          <w:lang w:val="id-ID"/>
        </w:rPr>
        <w:t>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Namun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(Surat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Edaran)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diperbaharui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menjadi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Surat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Edaran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No.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13/24/DPNP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tanggal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25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Oktober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PBI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13/1/PBI/2011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tentang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Penilaian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Kesehatan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wajib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melakukan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penilaian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Kesehatan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pendekatan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(Risk-Based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Rating)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mulai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berlaku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Januari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2012.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Metode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selanjutnya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dikenal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metode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RGEC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</w:t>
      </w:r>
      <w:r w:rsidRPr="00CE55B7">
        <w:rPr>
          <w:rFonts w:ascii="Tahoma" w:hAnsi="Tahoma" w:cs="Tahoma"/>
          <w:i/>
          <w:lang w:val="id-ID"/>
        </w:rPr>
        <w:t>Risk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Profiles,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Good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Corporate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Governance,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Earning,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dan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Capital</w:t>
      </w:r>
      <w:r w:rsidRPr="00CE55B7">
        <w:rPr>
          <w:rFonts w:ascii="Tahoma" w:hAnsi="Tahoma" w:cs="Tahoma"/>
          <w:lang w:val="id-ID"/>
        </w:rPr>
        <w:t>)</w:t>
      </w:r>
      <w:r w:rsidRPr="00CE55B7">
        <w:rPr>
          <w:rFonts w:ascii="Tahoma" w:hAnsi="Tahoma" w:cs="Tahoma"/>
          <w:lang w:val="id-ID"/>
        </w:rPr>
        <w:tab/>
      </w:r>
    </w:p>
    <w:p w:rsidR="00C92680" w:rsidRPr="00CE55B7" w:rsidRDefault="00C92680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Metode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RGEC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komprehensif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kesehatan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karena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pengukurannya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metode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mempertimbangkan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aspek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proses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penilaian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dilakukan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menyeluruh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sistematis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difokuskan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permasalahan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utama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sistem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baru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diharapkan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mampu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mengidentifikasi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masalah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sejak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dini,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melakukan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lanjut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sesuai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cepat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menerapkan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good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corporate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governance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manaje</w:t>
      </w:r>
      <w:r w:rsidR="00940AAD" w:rsidRPr="00CE55B7">
        <w:rPr>
          <w:rFonts w:ascii="Tahoma" w:hAnsi="Tahoma" w:cs="Tahoma"/>
          <w:lang w:val="id-ID"/>
        </w:rPr>
        <w:t>men</w:t>
      </w:r>
      <w:r w:rsidR="00CE55B7">
        <w:rPr>
          <w:rFonts w:ascii="Tahoma" w:hAnsi="Tahoma" w:cs="Tahoma"/>
          <w:lang w:val="id-ID"/>
        </w:rPr>
        <w:t xml:space="preserve"> </w:t>
      </w:r>
      <w:r w:rsidR="00940AAD"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="00940AAD"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="00940AAD"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="00940AAD" w:rsidRPr="00CE55B7">
        <w:rPr>
          <w:rFonts w:ascii="Tahoma" w:hAnsi="Tahoma" w:cs="Tahoma"/>
          <w:lang w:val="id-ID"/>
        </w:rPr>
        <w:t>baik.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Meskipun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sudah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diberlakukan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sistem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penilaian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kesehatan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baru,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namun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terlihat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beberapa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mengalami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turun.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Misalnya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Standar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ditetapkan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1,5%.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statistik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selama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2016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selalu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Namun,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maupun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cenderung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sama-sama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mengalami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penurunan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2013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2014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mengalami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penurunan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sangat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tajam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hingga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mencapai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74,05%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1,58%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0,41%.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Namun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setelah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2016.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terus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mengalami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penurunan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selama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persentase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penurunan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28,30%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angka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3,11%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angka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2,23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2016.</w:t>
      </w:r>
      <w:r w:rsidR="00CE55B7">
        <w:rPr>
          <w:rFonts w:ascii="Tahoma" w:hAnsi="Tahoma" w:cs="Tahoma"/>
          <w:lang w:val="id-ID"/>
        </w:rPr>
        <w:t xml:space="preserve"> </w:t>
      </w:r>
    </w:p>
    <w:p w:rsidR="00C92680" w:rsidRPr="00CE55B7" w:rsidRDefault="00C92680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kecukupan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berfungsi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menampung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kerugian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kemungkinan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dihadapi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Standar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niali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ditetapkan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8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%.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statistik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melewati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minimum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ditetapkan,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terlalu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tinngi.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Selama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pengamatan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dibandingkan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Namun,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dikedua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sama-sama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mengalami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trend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2014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2015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mengalami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penurunan.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Persentase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rata-rata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19,89%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tertinggi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22,93%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persentase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rata-rata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14,98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="00940AAD"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="00940AAD" w:rsidRPr="00CE55B7">
        <w:rPr>
          <w:rFonts w:ascii="Tahoma" w:hAnsi="Tahoma" w:cs="Tahoma"/>
          <w:lang w:val="id-ID"/>
        </w:rPr>
        <w:t>tertinggi</w:t>
      </w:r>
      <w:r w:rsidR="00CE55B7">
        <w:rPr>
          <w:rFonts w:ascii="Tahoma" w:hAnsi="Tahoma" w:cs="Tahoma"/>
          <w:lang w:val="id-ID"/>
        </w:rPr>
        <w:t xml:space="preserve"> </w:t>
      </w:r>
      <w:r w:rsidR="00940AAD"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="00940AAD" w:rsidRPr="00CE55B7">
        <w:rPr>
          <w:rFonts w:ascii="Tahoma" w:hAnsi="Tahoma" w:cs="Tahoma"/>
          <w:lang w:val="id-ID"/>
        </w:rPr>
        <w:t>15,95%.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diamati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kemampuannya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menghasilkan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laba.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Kemampuan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menghasilkan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laba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profitabilitas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diukur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Return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Asset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(ROA)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Return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Equity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(ROE).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mementingkan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penilaian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karena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mengutamakan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profitabilitas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diukur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asset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berasal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simpanan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masyarakat.</w:t>
      </w:r>
      <w:r w:rsidR="00CE55B7">
        <w:rPr>
          <w:rFonts w:ascii="Tahoma" w:hAnsi="Tahoma" w:cs="Tahoma"/>
          <w:lang w:val="id-ID"/>
        </w:rPr>
        <w:t xml:space="preserve"> </w:t>
      </w:r>
    </w:p>
    <w:p w:rsidR="00C92680" w:rsidRPr="00CE55B7" w:rsidRDefault="00C92680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ukuran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mengukur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efisiensi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efektifitas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menghasilkan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keuntungan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memanfaatkan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aset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dimilikinya.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merupakan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laba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sebelum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pajak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total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aset.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Semakin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semakin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karena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kembalian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</w:t>
      </w:r>
      <w:r w:rsidRPr="00CE55B7">
        <w:rPr>
          <w:rFonts w:ascii="Tahoma" w:hAnsi="Tahoma" w:cs="Tahoma"/>
          <w:i/>
          <w:lang w:val="id-ID"/>
        </w:rPr>
        <w:t>return</w:t>
      </w:r>
      <w:r w:rsidRPr="00CE55B7">
        <w:rPr>
          <w:rFonts w:ascii="Tahoma" w:hAnsi="Tahoma" w:cs="Tahoma"/>
          <w:lang w:val="id-ID"/>
        </w:rPr>
        <w:t>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semakin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besar.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Apabila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meningkat,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berarti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profitabilitas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meningkat.Selain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menjadi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populer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membandingkan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antar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Menurut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Dendawijaya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(2003:121)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rasio-rasio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indikator-indikator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melihat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memprediksi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sesuai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metode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RGEC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Risk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Profile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melalui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LDR/FDR,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Indeks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Pengungkapan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Corporate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Governance,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Earning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Capital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melalui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CAR.</w:t>
      </w:r>
    </w:p>
    <w:p w:rsidR="00F57562" w:rsidRPr="00CE55B7" w:rsidRDefault="00C92680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research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gap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penelitian-penelitian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terdahulu</w:t>
      </w:r>
      <w:r w:rsidR="00F57562" w:rsidRPr="00CE55B7">
        <w:rPr>
          <w:rFonts w:ascii="Tahoma" w:hAnsi="Tahoma" w:cs="Tahoma"/>
          <w:lang w:val="id-ID"/>
        </w:rPr>
        <w:t>.</w:t>
      </w:r>
      <w:r w:rsidR="00CE55B7">
        <w:rPr>
          <w:rFonts w:ascii="Tahoma" w:hAnsi="Tahoma" w:cs="Tahoma"/>
          <w:lang w:val="id-ID"/>
        </w:rPr>
        <w:t xml:space="preserve"> </w:t>
      </w:r>
      <w:r w:rsidR="00F57562" w:rsidRPr="00CE55B7">
        <w:rPr>
          <w:rFonts w:ascii="Tahoma" w:hAnsi="Tahoma" w:cs="Tahoma"/>
          <w:lang w:val="id-ID"/>
        </w:rPr>
        <w:t>H</w:t>
      </w:r>
      <w:r w:rsidRPr="00CE55B7">
        <w:rPr>
          <w:rFonts w:ascii="Tahoma" w:hAnsi="Tahoma" w:cs="Tahoma"/>
          <w:lang w:val="id-ID"/>
        </w:rPr>
        <w:t>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mengenai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dilakukan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Farah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Margaretha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&amp;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Marsheilly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Pingkan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Zai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(2013)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dilakukan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Usman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Harun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(2016)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Hasbi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Shidieq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&amp;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Willy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Yuliandari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(2015)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mengenai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Muh.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Sabir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M.,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Muhammad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Ali,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&amp;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Abd.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Hamid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Habbe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(2012)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David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Tjondro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&amp;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Wilopo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(2011)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menghasilkan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Bunga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Aprigati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Iskandar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&amp;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Nisful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Laila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(2016)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menghasilkan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Hasdillah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(2017)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mengenai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Usman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Harun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(2016)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dilakukan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Bunga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Aprigati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Iskandar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&amp;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Nisful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Laila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(2016)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dilakukan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(2013)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Farah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Margaretha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&amp;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Marsheilly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Pingkan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Zai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(2013)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mengenai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Bunga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Aprigati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Iskandar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&amp;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Nisful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Laila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(2016)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serupa.</w:t>
      </w:r>
      <w:r w:rsidR="00CE55B7">
        <w:rPr>
          <w:rFonts w:ascii="Tahoma" w:hAnsi="Tahoma" w:cs="Tahoma"/>
          <w:lang w:val="id-ID"/>
        </w:rPr>
        <w:t xml:space="preserve"> </w:t>
      </w:r>
    </w:p>
    <w:p w:rsidR="00F95E11" w:rsidRDefault="00F57562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  <w:lang w:val="id-ID"/>
        </w:rPr>
        <w:t>Tujuan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mengetahui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LDR/FDR,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bersama-sama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maupun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terdaftar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Otoritas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Jasa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2012-2016.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mengetahui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apakah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perbedaan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2012-2016.</w:t>
      </w:r>
    </w:p>
    <w:p w:rsidR="00B33D0B" w:rsidRPr="00B33D0B" w:rsidRDefault="00B33D0B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</w:p>
    <w:p w:rsidR="004E13D4" w:rsidRPr="001B38DE" w:rsidRDefault="004E13D4" w:rsidP="001B38DE">
      <w:pPr>
        <w:spacing w:after="0" w:line="240" w:lineRule="auto"/>
        <w:rPr>
          <w:rFonts w:ascii="Tahoma" w:hAnsi="Tahoma" w:cs="Tahoma"/>
          <w:b/>
          <w:lang w:val="id-ID"/>
        </w:rPr>
      </w:pPr>
      <w:r w:rsidRPr="001B38DE">
        <w:rPr>
          <w:rFonts w:ascii="Tahoma" w:hAnsi="Tahoma" w:cs="Tahoma"/>
          <w:b/>
          <w:lang w:val="id-ID"/>
        </w:rPr>
        <w:t>Jenis</w:t>
      </w:r>
      <w:r w:rsidR="00CE55B7" w:rsidRPr="001B38DE">
        <w:rPr>
          <w:rFonts w:ascii="Tahoma" w:hAnsi="Tahoma" w:cs="Tahoma"/>
          <w:b/>
          <w:lang w:val="id-ID"/>
        </w:rPr>
        <w:t xml:space="preserve"> </w:t>
      </w:r>
      <w:r w:rsidRPr="001B38DE">
        <w:rPr>
          <w:rFonts w:ascii="Tahoma" w:hAnsi="Tahoma" w:cs="Tahoma"/>
          <w:b/>
          <w:lang w:val="id-ID"/>
        </w:rPr>
        <w:t>Bank</w:t>
      </w:r>
    </w:p>
    <w:p w:rsidR="00D94EA1" w:rsidRPr="00CE55B7" w:rsidRDefault="004E13D4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terbagi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menjadi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beberapa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dibedakan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sesuai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fungsi,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kepemilikan,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status,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penetapan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harga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tingkatannya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(Ismail,2010:13).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Adapun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penjelasan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ditinjau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penentuan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harganya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berikut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:</w:t>
      </w:r>
      <w:r w:rsidR="00CE55B7">
        <w:rPr>
          <w:rFonts w:ascii="Tahoma" w:hAnsi="Tahoma" w:cs="Tahoma"/>
          <w:lang w:val="id-ID"/>
        </w:rPr>
        <w:t xml:space="preserve"> </w:t>
      </w:r>
    </w:p>
    <w:p w:rsidR="00D94EA1" w:rsidRPr="00CE55B7" w:rsidRDefault="004E13D4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b/>
          <w:lang w:val="id-ID"/>
        </w:rPr>
        <w:lastRenderedPageBreak/>
        <w:t>Bank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Konvensional</w:t>
      </w:r>
      <w:r w:rsidR="00CE55B7">
        <w:rPr>
          <w:rFonts w:ascii="Tahoma" w:hAnsi="Tahoma" w:cs="Tahoma"/>
          <w:b/>
          <w:lang w:val="id-ID"/>
        </w:rPr>
        <w:t xml:space="preserve"> </w:t>
      </w:r>
      <w:r w:rsidR="00D94EA1" w:rsidRPr="00CE55B7">
        <w:rPr>
          <w:rFonts w:ascii="Tahoma" w:hAnsi="Tahoma" w:cs="Tahoma"/>
          <w:b/>
          <w:lang w:val="id-ID"/>
        </w:rPr>
        <w:t>: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merupakan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penentuan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harga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bunga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balas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jasa.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Balas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jasa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diterima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penyaluran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masyarakat,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maupun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balas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jasa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dibayar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masyarakat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penghimpunan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dana.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itu,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mendapatksn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keuntungan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pelayanan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jasanya,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membebankan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fee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nasabahnya.</w:t>
      </w:r>
    </w:p>
    <w:p w:rsidR="004E13D4" w:rsidRPr="00CE55B7" w:rsidRDefault="004E13D4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b/>
          <w:lang w:val="id-ID"/>
        </w:rPr>
        <w:t>Bank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="00D94EA1" w:rsidRPr="00CE55B7">
        <w:rPr>
          <w:rFonts w:ascii="Tahoma" w:hAnsi="Tahoma" w:cs="Tahoma"/>
          <w:lang w:val="id-ID"/>
        </w:rPr>
        <w:t>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merupakan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kegiatannya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mengacu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hukum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Islam,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kegiatannya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membebankan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bunga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maupun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membayar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bnga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nasabah.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Imbalan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diterima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tergantung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akad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perjanjian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nasabah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pihak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Perjanjian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hukum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perjanjian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dilakukan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nasabah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penghimpunan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maupun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penyalurannya.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Perjanjian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akad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harus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tunduk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rukun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akad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tersebut.</w:t>
      </w:r>
    </w:p>
    <w:p w:rsidR="004E13D4" w:rsidRDefault="004E13D4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  <w:lang w:val="id-ID"/>
        </w:rPr>
        <w:t>Selain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diatas,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masih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ditinjau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BUKU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Kegiatan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Usaha),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dimana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penggolongan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ketetapan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dikeluarkan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melalui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Peraturan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Nomor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14/26/PBI/2012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tanggal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27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Desember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tentang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Kegiatan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Usaha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Jaringan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Kantor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dimiliki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dikelompokkan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4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kelompok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usaha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Kelompok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Usaha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–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BUKU)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BUKU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kurang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Rp1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Triliun,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BUKU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Rp1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Triliun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kurang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Rp5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Triliun,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BUKU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3: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Rp5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Triliun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kurang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Rp30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Triliun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BUKU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4: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Rp30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Triliun.</w:t>
      </w:r>
      <w:r w:rsidR="00CE55B7">
        <w:rPr>
          <w:rFonts w:ascii="Tahoma" w:hAnsi="Tahoma" w:cs="Tahoma"/>
          <w:lang w:val="id-ID"/>
        </w:rPr>
        <w:t xml:space="preserve"> </w:t>
      </w:r>
    </w:p>
    <w:p w:rsidR="009E3B0A" w:rsidRPr="009E3B0A" w:rsidRDefault="009E3B0A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</w:p>
    <w:p w:rsidR="005C5E53" w:rsidRPr="001B38DE" w:rsidRDefault="004E13D4" w:rsidP="001B38DE">
      <w:pPr>
        <w:spacing w:after="0" w:line="240" w:lineRule="auto"/>
        <w:rPr>
          <w:rFonts w:ascii="Tahoma" w:hAnsi="Tahoma" w:cs="Tahoma"/>
          <w:b/>
          <w:lang w:val="id-ID"/>
        </w:rPr>
      </w:pPr>
      <w:r w:rsidRPr="001B38DE">
        <w:rPr>
          <w:rFonts w:ascii="Tahoma" w:hAnsi="Tahoma" w:cs="Tahoma"/>
          <w:b/>
          <w:lang w:val="id-ID"/>
        </w:rPr>
        <w:t>Kinerja</w:t>
      </w:r>
      <w:r w:rsidR="00CE55B7" w:rsidRPr="001B38DE">
        <w:rPr>
          <w:rFonts w:ascii="Tahoma" w:hAnsi="Tahoma" w:cs="Tahoma"/>
          <w:b/>
          <w:lang w:val="id-ID"/>
        </w:rPr>
        <w:t xml:space="preserve"> </w:t>
      </w:r>
      <w:r w:rsidRPr="001B38DE">
        <w:rPr>
          <w:rFonts w:ascii="Tahoma" w:hAnsi="Tahoma" w:cs="Tahoma"/>
          <w:b/>
          <w:lang w:val="id-ID"/>
        </w:rPr>
        <w:t>Keuangan</w:t>
      </w:r>
      <w:r w:rsidR="00CE55B7" w:rsidRPr="001B38DE">
        <w:rPr>
          <w:rFonts w:ascii="Tahoma" w:hAnsi="Tahoma" w:cs="Tahoma"/>
          <w:b/>
          <w:lang w:val="id-ID"/>
        </w:rPr>
        <w:t xml:space="preserve"> </w:t>
      </w:r>
      <w:r w:rsidRPr="001B38DE">
        <w:rPr>
          <w:rFonts w:ascii="Tahoma" w:hAnsi="Tahoma" w:cs="Tahoma"/>
          <w:b/>
          <w:lang w:val="id-ID"/>
        </w:rPr>
        <w:t>Bank</w:t>
      </w:r>
    </w:p>
    <w:p w:rsidR="005C5E53" w:rsidRPr="00CE55B7" w:rsidRDefault="005C5E53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lang w:val="id-ID"/>
        </w:rPr>
        <w:t>Menurut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Fahmi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(2015:149)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analisis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dilakukan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melihat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sejauh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melaksanakan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aturan-aturan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pelaksanaan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benar.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Seperti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membuat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laporan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memenuhi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standar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ketentuan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(Standar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Akuntansi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GAAP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(General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Acepted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Accounting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Principle),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lainnya.</w:t>
      </w:r>
    </w:p>
    <w:p w:rsidR="005C5E53" w:rsidRPr="00CE55B7" w:rsidRDefault="005C5E53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lang w:val="id-ID"/>
        </w:rPr>
        <w:lastRenderedPageBreak/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alat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mengetahui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apakah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bekerja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upaya-upaya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apa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harus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dilakukan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agar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bekerja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lagi.Ukuran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paling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mengukur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kemampaun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menghasilkan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laba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profit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kegiatan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dilakukannya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(Fakhrudin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&amp;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Purwanti,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2015:122).</w:t>
      </w:r>
      <w:r w:rsidR="00CE55B7">
        <w:rPr>
          <w:rFonts w:ascii="Tahoma" w:hAnsi="Tahoma" w:cs="Tahoma"/>
          <w:lang w:val="id-ID"/>
        </w:rPr>
        <w:t xml:space="preserve"> </w:t>
      </w:r>
    </w:p>
    <w:p w:rsidR="005C5E53" w:rsidRDefault="005C5E53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  <w:lang w:val="id-ID"/>
        </w:rPr>
        <w:t>Menurut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Dendawijaya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(2009)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ukuran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profitabilitas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dilihat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macam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seperti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Return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Assets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(ROA),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Return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Equity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(ROE),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Net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Profit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Margin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(NPM).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mementingkan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penilaian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karena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mengutamakan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profitabilitas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diukur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asset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berasal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simpanan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masyarakat.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Return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Asset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mewakili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mengukur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profitabilitas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(Dendawijaya,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2009),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Return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Equity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(ROE)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mengukur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return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investasi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pemilik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bisnis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(Siamat,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2005).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Semakin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Return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Asset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semakin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karena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kembalian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(return)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semakin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besar.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Apabila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Return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Asset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meningkat,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berarti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profitabilitas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meningkat,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sehingga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dampak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akhirnya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peningkatan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profitabilitas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dinikmati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pemegang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saham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(Husnan,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1998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Saputra,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2014).</w:t>
      </w:r>
    </w:p>
    <w:p w:rsidR="009E3B0A" w:rsidRPr="009E3B0A" w:rsidRDefault="009E3B0A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b/>
        </w:rPr>
      </w:pPr>
    </w:p>
    <w:p w:rsidR="004E13D4" w:rsidRPr="001B38DE" w:rsidRDefault="004E13D4" w:rsidP="001B38DE">
      <w:pPr>
        <w:spacing w:after="0" w:line="240" w:lineRule="auto"/>
        <w:rPr>
          <w:rFonts w:ascii="Tahoma" w:hAnsi="Tahoma" w:cs="Tahoma"/>
          <w:b/>
          <w:lang w:val="id-ID"/>
        </w:rPr>
      </w:pPr>
      <w:r w:rsidRPr="001B38DE">
        <w:rPr>
          <w:rFonts w:ascii="Tahoma" w:hAnsi="Tahoma" w:cs="Tahoma"/>
          <w:b/>
          <w:lang w:val="id-ID"/>
        </w:rPr>
        <w:t>Faktor</w:t>
      </w:r>
      <w:r w:rsidR="00CE55B7" w:rsidRPr="001B38DE">
        <w:rPr>
          <w:rFonts w:ascii="Tahoma" w:hAnsi="Tahoma" w:cs="Tahoma"/>
          <w:b/>
          <w:lang w:val="id-ID"/>
        </w:rPr>
        <w:t xml:space="preserve"> </w:t>
      </w:r>
      <w:r w:rsidRPr="001B38DE">
        <w:rPr>
          <w:rFonts w:ascii="Tahoma" w:hAnsi="Tahoma" w:cs="Tahoma"/>
          <w:b/>
          <w:lang w:val="id-ID"/>
        </w:rPr>
        <w:t>RGEC</w:t>
      </w:r>
    </w:p>
    <w:p w:rsidR="00750425" w:rsidRPr="00CE55B7" w:rsidRDefault="005C5E53" w:rsidP="00BB24A4">
      <w:pPr>
        <w:pStyle w:val="ListParagraph"/>
        <w:spacing w:after="0" w:line="240" w:lineRule="auto"/>
        <w:ind w:left="0"/>
        <w:rPr>
          <w:rFonts w:ascii="Tahoma" w:hAnsi="Tahoma" w:cs="Tahoma"/>
          <w:b/>
          <w:i/>
          <w:lang w:val="id-ID"/>
        </w:rPr>
      </w:pPr>
      <w:r w:rsidRPr="00CE55B7">
        <w:rPr>
          <w:rFonts w:ascii="Tahoma" w:hAnsi="Tahoma" w:cs="Tahoma"/>
          <w:b/>
          <w:i/>
          <w:lang w:val="id-ID"/>
        </w:rPr>
        <w:t>Risk</w:t>
      </w:r>
      <w:r w:rsidR="00CE55B7">
        <w:rPr>
          <w:rFonts w:ascii="Tahoma" w:hAnsi="Tahoma" w:cs="Tahoma"/>
          <w:b/>
          <w:i/>
          <w:lang w:val="id-ID"/>
        </w:rPr>
        <w:t xml:space="preserve"> </w:t>
      </w:r>
      <w:r w:rsidRPr="00CE55B7">
        <w:rPr>
          <w:rFonts w:ascii="Tahoma" w:hAnsi="Tahoma" w:cs="Tahoma"/>
          <w:b/>
          <w:i/>
          <w:lang w:val="id-ID"/>
        </w:rPr>
        <w:t>Profile</w:t>
      </w:r>
    </w:p>
    <w:p w:rsidR="005C5E53" w:rsidRPr="00CE55B7" w:rsidRDefault="005C5E53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Peraturan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No.13/1/PBI/2011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pengertian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profil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</w:t>
      </w:r>
      <w:r w:rsidRPr="00CE55B7">
        <w:rPr>
          <w:rFonts w:ascii="Tahoma" w:hAnsi="Tahoma" w:cs="Tahoma"/>
          <w:i/>
          <w:lang w:val="id-ID"/>
        </w:rPr>
        <w:t>risk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profile</w:t>
      </w:r>
      <w:r w:rsidRPr="00CE55B7">
        <w:rPr>
          <w:rFonts w:ascii="Tahoma" w:hAnsi="Tahoma" w:cs="Tahoma"/>
          <w:lang w:val="id-ID"/>
        </w:rPr>
        <w:t>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merupakan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penilaian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inheren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kualitas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penerapan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manajemen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aktivitas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operasional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bank.</w:t>
      </w:r>
      <w:r w:rsidR="00CE55B7">
        <w:rPr>
          <w:rFonts w:ascii="Tahoma" w:hAnsi="Tahoma" w:cs="Tahoma"/>
        </w:rPr>
        <w:t xml:space="preserve"> </w:t>
      </w:r>
      <w:r w:rsidR="00750425"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faktor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i/>
          <w:lang w:val="id-ID"/>
        </w:rPr>
        <w:t>risk</w:t>
      </w:r>
      <w:r w:rsidR="00CE55B7">
        <w:rPr>
          <w:rFonts w:ascii="Tahoma" w:hAnsi="Tahoma" w:cs="Tahoma"/>
          <w:i/>
          <w:lang w:val="id-ID"/>
        </w:rPr>
        <w:t xml:space="preserve"> </w:t>
      </w:r>
      <w:r w:rsidR="00750425" w:rsidRPr="00CE55B7">
        <w:rPr>
          <w:rFonts w:ascii="Tahoma" w:hAnsi="Tahoma" w:cs="Tahoma"/>
          <w:i/>
          <w:lang w:val="id-ID"/>
        </w:rPr>
        <w:t>profile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dibatasi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hanya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kredit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(NPL/NPF)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likuiditas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(LDR/FDR).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Kedua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merupakan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paling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keuntungan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(Arifin,</w:t>
      </w:r>
      <w:r w:rsidR="00CE55B7">
        <w:rPr>
          <w:rFonts w:ascii="Tahoma" w:hAnsi="Tahoma" w:cs="Tahoma"/>
          <w:lang w:val="id-ID"/>
        </w:rPr>
        <w:t xml:space="preserve"> </w:t>
      </w:r>
      <w:r w:rsidR="00750425" w:rsidRPr="00CE55B7">
        <w:rPr>
          <w:rFonts w:ascii="Tahoma" w:hAnsi="Tahoma" w:cs="Tahoma"/>
          <w:lang w:val="id-ID"/>
        </w:rPr>
        <w:t>2005:60).</w:t>
      </w:r>
    </w:p>
    <w:p w:rsidR="009E3B0A" w:rsidRDefault="009E3B0A" w:rsidP="00BB24A4">
      <w:pPr>
        <w:pStyle w:val="ListParagraph"/>
        <w:spacing w:after="0" w:line="240" w:lineRule="auto"/>
        <w:ind w:left="0"/>
        <w:rPr>
          <w:rFonts w:ascii="Tahoma" w:hAnsi="Tahoma" w:cs="Tahoma"/>
          <w:b/>
          <w:i/>
        </w:rPr>
      </w:pPr>
    </w:p>
    <w:p w:rsidR="00750425" w:rsidRPr="00CE55B7" w:rsidRDefault="00750425" w:rsidP="00BB24A4">
      <w:pPr>
        <w:pStyle w:val="ListParagraph"/>
        <w:spacing w:after="0" w:line="240" w:lineRule="auto"/>
        <w:ind w:left="0"/>
        <w:rPr>
          <w:rFonts w:ascii="Tahoma" w:hAnsi="Tahoma" w:cs="Tahoma"/>
          <w:b/>
          <w:i/>
          <w:lang w:val="id-ID"/>
        </w:rPr>
      </w:pPr>
      <w:r w:rsidRPr="00CE55B7">
        <w:rPr>
          <w:rFonts w:ascii="Tahoma" w:hAnsi="Tahoma" w:cs="Tahoma"/>
          <w:b/>
          <w:i/>
          <w:lang w:val="id-ID"/>
        </w:rPr>
        <w:t>Good</w:t>
      </w:r>
      <w:r w:rsidR="00CE55B7">
        <w:rPr>
          <w:rFonts w:ascii="Tahoma" w:hAnsi="Tahoma" w:cs="Tahoma"/>
          <w:b/>
          <w:i/>
          <w:lang w:val="id-ID"/>
        </w:rPr>
        <w:t xml:space="preserve"> </w:t>
      </w:r>
      <w:r w:rsidRPr="00CE55B7">
        <w:rPr>
          <w:rFonts w:ascii="Tahoma" w:hAnsi="Tahoma" w:cs="Tahoma"/>
          <w:b/>
          <w:i/>
          <w:lang w:val="id-ID"/>
        </w:rPr>
        <w:t>Corporate</w:t>
      </w:r>
      <w:r w:rsidR="00CE55B7">
        <w:rPr>
          <w:rFonts w:ascii="Tahoma" w:hAnsi="Tahoma" w:cs="Tahoma"/>
          <w:b/>
          <w:i/>
          <w:lang w:val="id-ID"/>
        </w:rPr>
        <w:t xml:space="preserve"> </w:t>
      </w:r>
      <w:r w:rsidRPr="00CE55B7">
        <w:rPr>
          <w:rFonts w:ascii="Tahoma" w:hAnsi="Tahoma" w:cs="Tahoma"/>
          <w:b/>
          <w:i/>
          <w:lang w:val="id-ID"/>
        </w:rPr>
        <w:t>Governance</w:t>
      </w:r>
    </w:p>
    <w:p w:rsidR="00750425" w:rsidRPr="00CE55B7" w:rsidRDefault="00750425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b/>
          <w:i/>
          <w:lang w:val="id-ID"/>
        </w:rPr>
      </w:pPr>
      <w:r w:rsidRPr="00CE55B7">
        <w:rPr>
          <w:rFonts w:ascii="Tahoma" w:hAnsi="Tahoma" w:cs="Tahoma"/>
          <w:lang w:val="id-ID"/>
        </w:rPr>
        <w:t>Menurut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Dunia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Good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Corporate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Governance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(GCG)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aturan,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standar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organisasi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bidang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ekonomi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mengatur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perilaku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pemilik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direktur,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manajer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perincian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penjabaran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tugas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wewenang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pertanggungjawabannya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investor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(pemegang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saham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kreditur).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Tujuannya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menciptakansistem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pengendaliaan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keseimbangan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</w:t>
      </w:r>
      <w:r w:rsidRPr="00CE55B7">
        <w:rPr>
          <w:rFonts w:ascii="Tahoma" w:hAnsi="Tahoma" w:cs="Tahoma"/>
          <w:i/>
          <w:lang w:val="id-ID"/>
        </w:rPr>
        <w:t>check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and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balances</w:t>
      </w:r>
      <w:r w:rsidRPr="00CE55B7">
        <w:rPr>
          <w:rFonts w:ascii="Tahoma" w:hAnsi="Tahoma" w:cs="Tahoma"/>
          <w:lang w:val="id-ID"/>
        </w:rPr>
        <w:t>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mencegah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kemungkinan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penyalahgunaan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sumber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tetap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mendorong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terjadinya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pertumbuhan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perusahaan.</w:t>
      </w:r>
    </w:p>
    <w:p w:rsidR="00750425" w:rsidRPr="00CE55B7" w:rsidRDefault="00750425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b/>
          <w:i/>
          <w:lang w:val="id-ID"/>
        </w:rPr>
      </w:pP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indikator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pengungkapan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laporan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masing-masing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Pedoman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Corporate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Governance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(KNKG,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2006)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Keputusan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Ketua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BAPEPAM-LK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No.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KEP-134/BL/2006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terdiri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beberapa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klasifikasi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pemegang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saham,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dewan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komisaris,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direksi,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komite-komite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bawah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dewan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komisaris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direksi,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sekretaris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pelaksan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pengawasan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penegendalian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internal,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manajemen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perkara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penting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dihadapi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akses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informasi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etika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pernyataan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penerapan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informasi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penting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berkaitan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penerapan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GCG.</w:t>
      </w:r>
    </w:p>
    <w:p w:rsidR="009E3B0A" w:rsidRDefault="009E3B0A" w:rsidP="00BB24A4">
      <w:pPr>
        <w:pStyle w:val="ListParagraph"/>
        <w:spacing w:after="0" w:line="240" w:lineRule="auto"/>
        <w:ind w:left="0"/>
        <w:rPr>
          <w:rFonts w:ascii="Tahoma" w:hAnsi="Tahoma" w:cs="Tahoma"/>
          <w:b/>
          <w:i/>
        </w:rPr>
      </w:pPr>
    </w:p>
    <w:p w:rsidR="00750425" w:rsidRPr="00CE55B7" w:rsidRDefault="00750425" w:rsidP="00BB24A4">
      <w:pPr>
        <w:pStyle w:val="ListParagraph"/>
        <w:spacing w:after="0" w:line="240" w:lineRule="auto"/>
        <w:ind w:left="0"/>
        <w:rPr>
          <w:rFonts w:ascii="Tahoma" w:hAnsi="Tahoma" w:cs="Tahoma"/>
          <w:b/>
          <w:i/>
          <w:lang w:val="id-ID"/>
        </w:rPr>
      </w:pPr>
      <w:r w:rsidRPr="00CE55B7">
        <w:rPr>
          <w:rFonts w:ascii="Tahoma" w:hAnsi="Tahoma" w:cs="Tahoma"/>
          <w:b/>
          <w:i/>
          <w:lang w:val="id-ID"/>
        </w:rPr>
        <w:t>Earning</w:t>
      </w:r>
    </w:p>
    <w:p w:rsidR="00750425" w:rsidRPr="00CE55B7" w:rsidRDefault="00750425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  <w:i/>
          <w:lang w:val="id-ID"/>
        </w:rPr>
        <w:t>Earning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penilaian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kesehatan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rentabilitas.Rentabilitas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merupakan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kemampuan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menghasilkan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keuntungan.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Rentabilitas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efektifitas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manajemen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mengelola</w:t>
      </w:r>
      <w:r w:rsidR="00940AAD" w:rsidRPr="00CE55B7">
        <w:rPr>
          <w:rFonts w:ascii="Tahoma" w:hAnsi="Tahoma" w:cs="Tahoma"/>
          <w:lang w:val="id-ID"/>
        </w:rPr>
        <w:t>perusahaan</w:t>
      </w:r>
      <w:r w:rsidR="00CE55B7">
        <w:rPr>
          <w:rFonts w:ascii="Tahoma" w:hAnsi="Tahoma" w:cs="Tahoma"/>
          <w:lang w:val="id-ID"/>
        </w:rPr>
        <w:t xml:space="preserve"> </w:t>
      </w:r>
      <w:r w:rsidR="00940AAD" w:rsidRPr="00CE55B7">
        <w:rPr>
          <w:rFonts w:ascii="Tahoma" w:hAnsi="Tahoma" w:cs="Tahoma"/>
          <w:lang w:val="id-ID"/>
        </w:rPr>
        <w:t>(Kasmir,</w:t>
      </w:r>
      <w:r w:rsidR="00CE55B7">
        <w:rPr>
          <w:rFonts w:ascii="Tahoma" w:hAnsi="Tahoma" w:cs="Tahoma"/>
          <w:lang w:val="id-ID"/>
        </w:rPr>
        <w:t xml:space="preserve"> </w:t>
      </w:r>
      <w:r w:rsidR="00940AAD" w:rsidRPr="00CE55B7">
        <w:rPr>
          <w:rFonts w:ascii="Tahoma" w:hAnsi="Tahoma" w:cs="Tahoma"/>
          <w:lang w:val="id-ID"/>
        </w:rPr>
        <w:t>2013:196).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Karakteristik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rentabilitas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menghasilkan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laba,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kestabilan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komponen-komponen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mendukung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core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earning,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kemampuan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laba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meningkatkan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permodalan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prospek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laba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masa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depan.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Indikator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rentabilitas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ROE,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mengukur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earning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BOPO.</w:t>
      </w:r>
    </w:p>
    <w:p w:rsidR="00940AAD" w:rsidRPr="00CE55B7" w:rsidRDefault="00940AAD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</w:p>
    <w:p w:rsidR="00750425" w:rsidRPr="00CE55B7" w:rsidRDefault="00750425" w:rsidP="00BB24A4">
      <w:pPr>
        <w:pStyle w:val="ListParagraph"/>
        <w:spacing w:after="0" w:line="240" w:lineRule="auto"/>
        <w:ind w:left="0"/>
        <w:rPr>
          <w:rFonts w:ascii="Tahoma" w:hAnsi="Tahoma" w:cs="Tahoma"/>
          <w:b/>
          <w:i/>
          <w:lang w:val="id-ID"/>
        </w:rPr>
      </w:pPr>
      <w:r w:rsidRPr="00CE55B7">
        <w:rPr>
          <w:rFonts w:ascii="Tahoma" w:hAnsi="Tahoma" w:cs="Tahoma"/>
          <w:b/>
          <w:i/>
          <w:lang w:val="id-ID"/>
        </w:rPr>
        <w:t>Capital</w:t>
      </w:r>
    </w:p>
    <w:p w:rsidR="00750425" w:rsidRDefault="00750425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diinvestasikan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pemilik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rangka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pendirian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usaha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dimaksudkan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membiayai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kegiatan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usaha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disamping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memenuhi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regulasi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ditetapkan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otoritas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moneter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(Taswan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2010:214).</w:t>
      </w:r>
      <w:r w:rsidR="0004219A" w:rsidRPr="00CE55B7">
        <w:rPr>
          <w:rFonts w:ascii="Tahoma" w:hAnsi="Tahoma" w:cs="Tahoma"/>
          <w:lang w:val="id-ID"/>
        </w:rPr>
        <w:t>Capital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permodalan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memiliki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lastRenderedPageBreak/>
        <w:t>indikator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lain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kecukupan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-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Capital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Adequacy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Ratio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(CAR).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mengukur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kecukupan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dimiliki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menunjang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aktiva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mengandung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menghasilkan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risiko.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Kasmir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(2014:198)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menjelaskan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memperlihatkan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seberapa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jauh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seluruh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aktiva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mengandung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(kredit,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penyertaan,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surat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berharga,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tagihan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lain)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dibiayai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dana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sendiri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sumber-sumber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luar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bank,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seperti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dana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masyarakat,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pinjaman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(utang),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="0004219A" w:rsidRPr="00CE55B7">
        <w:rPr>
          <w:rFonts w:ascii="Tahoma" w:hAnsi="Tahoma" w:cs="Tahoma"/>
          <w:lang w:val="id-ID"/>
        </w:rPr>
        <w:t>lain-lain.</w:t>
      </w:r>
    </w:p>
    <w:p w:rsidR="009E3B0A" w:rsidRPr="009E3B0A" w:rsidRDefault="009E3B0A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</w:p>
    <w:p w:rsidR="005C5E53" w:rsidRPr="001B38DE" w:rsidRDefault="005C5E53" w:rsidP="001B38DE">
      <w:pPr>
        <w:spacing w:after="0" w:line="240" w:lineRule="auto"/>
        <w:rPr>
          <w:rFonts w:ascii="Tahoma" w:hAnsi="Tahoma" w:cs="Tahoma"/>
          <w:b/>
          <w:lang w:val="id-ID"/>
        </w:rPr>
      </w:pPr>
      <w:r w:rsidRPr="001B38DE">
        <w:rPr>
          <w:rFonts w:ascii="Tahoma" w:hAnsi="Tahoma" w:cs="Tahoma"/>
          <w:b/>
          <w:lang w:val="id-ID"/>
        </w:rPr>
        <w:t>Teori</w:t>
      </w:r>
      <w:r w:rsidR="00CE55B7" w:rsidRPr="001B38DE">
        <w:rPr>
          <w:rFonts w:ascii="Tahoma" w:hAnsi="Tahoma" w:cs="Tahoma"/>
          <w:b/>
          <w:lang w:val="id-ID"/>
        </w:rPr>
        <w:t xml:space="preserve"> </w:t>
      </w:r>
      <w:r w:rsidRPr="001B38DE">
        <w:rPr>
          <w:rFonts w:ascii="Tahoma" w:hAnsi="Tahoma" w:cs="Tahoma"/>
          <w:b/>
          <w:lang w:val="id-ID"/>
        </w:rPr>
        <w:t>Hubungan</w:t>
      </w:r>
      <w:r w:rsidR="00CE55B7" w:rsidRPr="001B38DE">
        <w:rPr>
          <w:rFonts w:ascii="Tahoma" w:hAnsi="Tahoma" w:cs="Tahoma"/>
          <w:b/>
          <w:lang w:val="id-ID"/>
        </w:rPr>
        <w:t xml:space="preserve"> </w:t>
      </w:r>
      <w:r w:rsidRPr="001B38DE">
        <w:rPr>
          <w:rFonts w:ascii="Tahoma" w:hAnsi="Tahoma" w:cs="Tahoma"/>
          <w:b/>
          <w:i/>
          <w:lang w:val="id-ID"/>
        </w:rPr>
        <w:t>Risk</w:t>
      </w:r>
      <w:r w:rsidR="00CE55B7" w:rsidRPr="001B38DE">
        <w:rPr>
          <w:rFonts w:ascii="Tahoma" w:hAnsi="Tahoma" w:cs="Tahoma"/>
          <w:b/>
          <w:lang w:val="id-ID"/>
        </w:rPr>
        <w:t xml:space="preserve"> </w:t>
      </w:r>
      <w:r w:rsidRPr="001B38DE">
        <w:rPr>
          <w:rFonts w:ascii="Tahoma" w:hAnsi="Tahoma" w:cs="Tahoma"/>
          <w:b/>
          <w:lang w:val="id-ID"/>
        </w:rPr>
        <w:t>and</w:t>
      </w:r>
      <w:r w:rsidR="00CE55B7" w:rsidRPr="001B38DE">
        <w:rPr>
          <w:rFonts w:ascii="Tahoma" w:hAnsi="Tahoma" w:cs="Tahoma"/>
          <w:b/>
          <w:lang w:val="id-ID"/>
        </w:rPr>
        <w:t xml:space="preserve"> </w:t>
      </w:r>
      <w:r w:rsidRPr="001B38DE">
        <w:rPr>
          <w:rFonts w:ascii="Tahoma" w:hAnsi="Tahoma" w:cs="Tahoma"/>
          <w:b/>
          <w:i/>
          <w:lang w:val="id-ID"/>
        </w:rPr>
        <w:t>Return</w:t>
      </w:r>
    </w:p>
    <w:p w:rsidR="005C5E53" w:rsidRPr="00CE55B7" w:rsidRDefault="005C5E53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lang w:val="id-ID"/>
        </w:rPr>
        <w:t>Fahmi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(2014:357)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mendefinisikan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</w:t>
      </w:r>
      <w:r w:rsidRPr="00CE55B7">
        <w:rPr>
          <w:rFonts w:ascii="Tahoma" w:hAnsi="Tahoma" w:cs="Tahoma"/>
          <w:i/>
          <w:lang w:val="id-ID"/>
        </w:rPr>
        <w:t>risk</w:t>
      </w:r>
      <w:r w:rsidRPr="00CE55B7">
        <w:rPr>
          <w:rFonts w:ascii="Tahoma" w:hAnsi="Tahoma" w:cs="Tahoma"/>
          <w:lang w:val="id-ID"/>
        </w:rPr>
        <w:t>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kedaan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ketidakpastian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tentang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keadaan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terjadi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nantinya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</w:t>
      </w:r>
      <w:r w:rsidRPr="00CE55B7">
        <w:rPr>
          <w:rFonts w:ascii="Tahoma" w:hAnsi="Tahoma" w:cs="Tahoma"/>
          <w:i/>
          <w:lang w:val="id-ID"/>
        </w:rPr>
        <w:t>future</w:t>
      </w:r>
      <w:r w:rsidRPr="00CE55B7">
        <w:rPr>
          <w:rFonts w:ascii="Tahoma" w:hAnsi="Tahoma" w:cs="Tahoma"/>
          <w:lang w:val="id-ID"/>
        </w:rPr>
        <w:t>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keputusan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diambil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pertimbangan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Sedangkantingkat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pengembalian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</w:t>
      </w:r>
      <w:r w:rsidRPr="00CE55B7">
        <w:rPr>
          <w:rFonts w:ascii="Tahoma" w:hAnsi="Tahoma" w:cs="Tahoma"/>
          <w:i/>
          <w:lang w:val="id-ID"/>
        </w:rPr>
        <w:t>return</w:t>
      </w:r>
      <w:r w:rsidRPr="00CE55B7">
        <w:rPr>
          <w:rFonts w:ascii="Tahoma" w:hAnsi="Tahoma" w:cs="Tahoma"/>
          <w:lang w:val="id-ID"/>
        </w:rPr>
        <w:t>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keuntungan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individu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institusi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kebijakan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investasi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dilakukannya.</w:t>
      </w:r>
    </w:p>
    <w:p w:rsidR="005C5E53" w:rsidRPr="00CE55B7" w:rsidRDefault="005C5E53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lang w:val="id-ID"/>
        </w:rPr>
        <w:t>Sementara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itu,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Husnan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(2015:43)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mendefinisikan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kemungkinan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keuntungan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menyimpang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keuntungan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diharapkan.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dikatakan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peluang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terjadinya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kerugian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kehancuran.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luas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diartikan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kemungkinan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terjadinya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diinginkan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berlawanan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diinginkan.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industri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umumnya,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istilah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“</w:t>
      </w:r>
      <w:r w:rsidRPr="00CE55B7">
        <w:rPr>
          <w:rFonts w:ascii="Tahoma" w:hAnsi="Tahoma" w:cs="Tahoma"/>
          <w:i/>
          <w:lang w:val="id-ID"/>
        </w:rPr>
        <w:t>high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risk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bring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about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high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return</w:t>
      </w:r>
      <w:r w:rsidRPr="00CE55B7">
        <w:rPr>
          <w:rFonts w:ascii="Tahoma" w:hAnsi="Tahoma" w:cs="Tahoma"/>
          <w:lang w:val="id-ID"/>
        </w:rPr>
        <w:t>”,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artinya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jika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ingin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besar,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dihadapkan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pula.</w:t>
      </w:r>
      <w:r w:rsidR="00CE55B7">
        <w:rPr>
          <w:rFonts w:ascii="Tahoma" w:hAnsi="Tahoma" w:cs="Tahoma"/>
          <w:lang w:val="id-ID"/>
        </w:rPr>
        <w:t xml:space="preserve"> </w:t>
      </w:r>
    </w:p>
    <w:p w:rsidR="005C5E53" w:rsidRPr="00CE55B7" w:rsidRDefault="005C5E53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i/>
          <w:lang w:val="id-ID"/>
        </w:rPr>
        <w:t>Risk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and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return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kondisi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dialami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keputusan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penggunaan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kerugian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maupun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keuntungan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suatu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akuntansi.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Hubungan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pengembalian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bersifat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linear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searah.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Artinya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semakin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tinggi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pengembalian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diharapkan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semakin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tinggi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pula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kemungkinan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ditanggung.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Semakin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asset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tempatkan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keputusan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penggunaan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semakin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pula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timbul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penggunaan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tersebut.Teori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hubungan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risk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and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return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menjelaskan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hubungan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merupakan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risiko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kredit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macet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dihadapi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ketika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menyalurkan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kredit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pembiayaan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nasabah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merupakan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return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diharapkan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penyaluran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kredit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pembiayaan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tersebut.</w:t>
      </w:r>
    </w:p>
    <w:p w:rsidR="009E3B0A" w:rsidRDefault="009E3B0A" w:rsidP="00BB24A4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</w:p>
    <w:p w:rsidR="0004219A" w:rsidRPr="00CE55B7" w:rsidRDefault="0004219A" w:rsidP="00BB24A4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CE55B7">
        <w:rPr>
          <w:rFonts w:ascii="Tahoma" w:hAnsi="Tahoma" w:cs="Tahoma"/>
          <w:b/>
          <w:lang w:val="id-ID"/>
        </w:rPr>
        <w:t>Hipotesis</w:t>
      </w:r>
    </w:p>
    <w:p w:rsidR="003343BD" w:rsidRPr="00CE55B7" w:rsidRDefault="003343BD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</w:rPr>
        <w:t>Hipotesis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yang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uji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dalam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penelitian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ini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</w:rPr>
        <w:t>adalah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:</w:t>
      </w:r>
      <w:proofErr w:type="gramEnd"/>
      <w:r w:rsidR="00CE55B7">
        <w:rPr>
          <w:rFonts w:ascii="Tahoma" w:hAnsi="Tahoma" w:cs="Tahoma"/>
        </w:rPr>
        <w:t xml:space="preserve"> </w:t>
      </w:r>
    </w:p>
    <w:p w:rsidR="00D94EA1" w:rsidRPr="00CE55B7" w:rsidRDefault="00D94EA1" w:rsidP="00BB24A4">
      <w:pPr>
        <w:spacing w:after="0" w:line="240" w:lineRule="auto"/>
        <w:ind w:left="450" w:hanging="45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H1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bersama-sama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LDR/FDR,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ROA.</w:t>
      </w:r>
    </w:p>
    <w:p w:rsidR="00D94EA1" w:rsidRPr="00CE55B7" w:rsidRDefault="00D94EA1" w:rsidP="00BB24A4">
      <w:pPr>
        <w:spacing w:after="0" w:line="240" w:lineRule="auto"/>
        <w:ind w:left="450" w:hanging="450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  <w:lang w:val="id-ID"/>
        </w:rPr>
        <w:t>H2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ROA.</w:t>
      </w:r>
    </w:p>
    <w:p w:rsidR="003343BD" w:rsidRPr="00CE55B7" w:rsidRDefault="003343BD" w:rsidP="00BB24A4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  <w:lang w:val="id-ID"/>
        </w:rPr>
        <w:t>H3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LDR/FDR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ROA.</w:t>
      </w:r>
    </w:p>
    <w:p w:rsidR="003343BD" w:rsidRPr="00CE55B7" w:rsidRDefault="003343BD" w:rsidP="00BB24A4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  <w:lang w:val="id-ID"/>
        </w:rPr>
        <w:t>H4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ROA.</w:t>
      </w:r>
    </w:p>
    <w:p w:rsidR="003343BD" w:rsidRPr="00CE55B7" w:rsidRDefault="003343BD" w:rsidP="00BB24A4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  <w:lang w:val="id-ID"/>
        </w:rPr>
        <w:t>H5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</w:p>
    <w:p w:rsidR="003343BD" w:rsidRPr="00CE55B7" w:rsidRDefault="003343BD" w:rsidP="00BB24A4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  <w:lang w:val="id-ID"/>
        </w:rPr>
        <w:t>H6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</w:p>
    <w:p w:rsidR="003343BD" w:rsidRPr="00CE55B7" w:rsidRDefault="003343BD" w:rsidP="00BB24A4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  <w:lang w:val="id-ID"/>
        </w:rPr>
        <w:t>H7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</w:p>
    <w:p w:rsidR="003343BD" w:rsidRPr="00CE55B7" w:rsidRDefault="003343BD" w:rsidP="00BB24A4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  <w:lang w:val="id-ID"/>
        </w:rPr>
        <w:t>H8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</w:p>
    <w:p w:rsidR="00766537" w:rsidRPr="00CE55B7" w:rsidRDefault="00766537" w:rsidP="00BB24A4">
      <w:pPr>
        <w:spacing w:after="0" w:line="240" w:lineRule="auto"/>
        <w:contextualSpacing/>
        <w:rPr>
          <w:rFonts w:ascii="Tahoma" w:hAnsi="Tahoma" w:cs="Tahoma"/>
          <w:b/>
        </w:rPr>
      </w:pPr>
    </w:p>
    <w:p w:rsidR="006D2CFE" w:rsidRPr="00FB177A" w:rsidRDefault="008720BD" w:rsidP="00BB24A4">
      <w:pPr>
        <w:spacing w:after="0" w:line="240" w:lineRule="auto"/>
        <w:contextualSpacing/>
        <w:jc w:val="both"/>
        <w:rPr>
          <w:rFonts w:ascii="Tahoma" w:hAnsi="Tahoma" w:cs="Tahoma"/>
          <w:b/>
          <w:sz w:val="24"/>
        </w:rPr>
      </w:pPr>
      <w:r w:rsidRPr="00FB177A">
        <w:rPr>
          <w:rFonts w:ascii="Tahoma" w:hAnsi="Tahoma" w:cs="Tahoma"/>
          <w:b/>
          <w:sz w:val="24"/>
          <w:lang w:val="id-ID"/>
        </w:rPr>
        <w:t>Metode Penelitian</w:t>
      </w:r>
    </w:p>
    <w:p w:rsidR="007A7DC4" w:rsidRPr="00CE55B7" w:rsidRDefault="007A7DC4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asosiatif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kausalitas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pendekatan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kuantitatif.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asosiatif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menurut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Sugiyono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(2012:11)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merupakan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bertujuan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mengetahui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hubungan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dua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Sedangkan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pendekatan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kuantitatif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karena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dinyatakan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angka-angka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kualitatif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diangkakan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(skoring).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asosiatif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bertujuan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meneliti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bagaimana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LDR/FDR,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independen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(bebas)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dependen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(terikat).</w:t>
      </w:r>
    </w:p>
    <w:p w:rsidR="009E3B0A" w:rsidRDefault="009E3B0A" w:rsidP="00BB24A4">
      <w:pPr>
        <w:spacing w:after="0" w:line="240" w:lineRule="auto"/>
        <w:contextualSpacing/>
        <w:rPr>
          <w:rFonts w:ascii="Tahoma" w:hAnsi="Tahoma" w:cs="Tahoma"/>
          <w:b/>
        </w:rPr>
      </w:pPr>
    </w:p>
    <w:p w:rsidR="006D2CFE" w:rsidRPr="00CE55B7" w:rsidRDefault="006D2CFE" w:rsidP="00BB24A4">
      <w:pPr>
        <w:spacing w:after="0" w:line="240" w:lineRule="auto"/>
        <w:contextualSpacing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b/>
          <w:lang w:val="id-ID"/>
        </w:rPr>
        <w:t>Populasi,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Sampel,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dan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Penarikan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Sampel</w:t>
      </w:r>
    </w:p>
    <w:p w:rsidR="009B1F74" w:rsidRPr="00CE55B7" w:rsidRDefault="007A7DC4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Populasi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seluruh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terdaftar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Otoritas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Jasa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2012-2016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berjumlah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140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terdiri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127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13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Teknik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pengambilan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dilakukan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metode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non-probability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sampling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teknik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purposive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sampling,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teknik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penentuan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pertimbangan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tertentu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(Sugiyono,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2013:122).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Teknik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bertujuan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mendapatkan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sesuai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kebutuhan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Kriteria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ditetapkan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:</w:t>
      </w:r>
    </w:p>
    <w:p w:rsidR="00D7548E" w:rsidRPr="00CE55B7" w:rsidRDefault="007A7DC4" w:rsidP="00BB24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Merupakan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termasuk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kategori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BUKU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Kegiatan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Usaha)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II.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Kategori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diberikan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kurang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Triliun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(BUKU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Triliun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kurang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5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Triliun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(BUKU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II).</w:t>
      </w:r>
    </w:p>
    <w:p w:rsidR="00D7548E" w:rsidRPr="00CE55B7" w:rsidRDefault="007A7DC4" w:rsidP="00BB24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merupakan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Pembangunan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Daerah.</w:t>
      </w:r>
    </w:p>
    <w:p w:rsidR="007A7DC4" w:rsidRPr="00CE55B7" w:rsidRDefault="007A7DC4" w:rsidP="00BB24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konsisten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mempublikasikan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laporan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(neraca,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laporan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laba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rugi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laporan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selama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pengamatan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(2012-2016).</w:t>
      </w:r>
    </w:p>
    <w:p w:rsidR="007A7DC4" w:rsidRPr="00CE55B7" w:rsidRDefault="007A7DC4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penetapan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kriteria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sebanyak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40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terdiri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31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9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40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dikali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5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tahun,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200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observasi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data.</w:t>
      </w:r>
    </w:p>
    <w:p w:rsidR="009E3B0A" w:rsidRDefault="009E3B0A" w:rsidP="00BB24A4">
      <w:pPr>
        <w:spacing w:after="0" w:line="240" w:lineRule="auto"/>
        <w:contextualSpacing/>
        <w:rPr>
          <w:rFonts w:ascii="Tahoma" w:hAnsi="Tahoma" w:cs="Tahoma"/>
          <w:b/>
        </w:rPr>
      </w:pPr>
    </w:p>
    <w:p w:rsidR="006D2CFE" w:rsidRPr="00CE55B7" w:rsidRDefault="00D7548E" w:rsidP="00BB24A4">
      <w:pPr>
        <w:spacing w:after="0" w:line="240" w:lineRule="auto"/>
        <w:contextualSpacing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b/>
          <w:lang w:val="id-ID"/>
        </w:rPr>
        <w:t>Jenis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dan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Sumber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Data</w:t>
      </w:r>
    </w:p>
    <w:p w:rsidR="00F57562" w:rsidRPr="00CE55B7" w:rsidRDefault="00D7548E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kuantitatif.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Menurut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Sugiyono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(2012:14)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kuantitatif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merupakan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dimana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berupa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angka,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kualitatif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diangkakan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(skoring).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kuatitatif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berupa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laporan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diukur.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sumber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sumber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sekunder.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Menurut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Sugiyono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(2012:141)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sekunder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sumber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membaca,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mempelajari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memahami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melalui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media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bersumber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literatur,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buku-buku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dokumen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perusahaan.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sekunder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berupa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laporan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tahun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2016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diteliti.</w:t>
      </w:r>
    </w:p>
    <w:p w:rsidR="009E3B0A" w:rsidRDefault="009E3B0A" w:rsidP="00BB24A4">
      <w:pPr>
        <w:spacing w:after="0" w:line="240" w:lineRule="auto"/>
        <w:contextualSpacing/>
        <w:rPr>
          <w:rFonts w:ascii="Tahoma" w:hAnsi="Tahoma" w:cs="Tahoma"/>
          <w:b/>
        </w:rPr>
      </w:pPr>
    </w:p>
    <w:p w:rsidR="009E3B0A" w:rsidRDefault="009E3B0A" w:rsidP="00BB24A4">
      <w:pPr>
        <w:spacing w:after="0" w:line="240" w:lineRule="auto"/>
        <w:contextualSpacing/>
        <w:rPr>
          <w:rFonts w:ascii="Tahoma" w:hAnsi="Tahoma" w:cs="Tahoma"/>
          <w:b/>
        </w:rPr>
      </w:pPr>
    </w:p>
    <w:p w:rsidR="00EC4458" w:rsidRDefault="00EC4458" w:rsidP="00BB24A4">
      <w:pPr>
        <w:spacing w:after="0" w:line="240" w:lineRule="auto"/>
        <w:contextualSpacing/>
        <w:rPr>
          <w:rFonts w:ascii="Tahoma" w:hAnsi="Tahoma" w:cs="Tahoma"/>
          <w:b/>
        </w:rPr>
      </w:pPr>
    </w:p>
    <w:p w:rsidR="00EC4458" w:rsidRDefault="00EC4458" w:rsidP="00BB24A4">
      <w:pPr>
        <w:spacing w:after="0" w:line="240" w:lineRule="auto"/>
        <w:contextualSpacing/>
        <w:rPr>
          <w:rFonts w:ascii="Tahoma" w:hAnsi="Tahoma" w:cs="Tahoma"/>
          <w:b/>
        </w:rPr>
      </w:pPr>
    </w:p>
    <w:p w:rsidR="007224AB" w:rsidRDefault="007224AB" w:rsidP="00BB24A4">
      <w:pPr>
        <w:spacing w:after="0" w:line="240" w:lineRule="auto"/>
        <w:contextualSpacing/>
        <w:rPr>
          <w:rFonts w:ascii="Tahoma" w:hAnsi="Tahoma" w:cs="Tahoma"/>
          <w:b/>
        </w:rPr>
      </w:pPr>
    </w:p>
    <w:p w:rsidR="007224AB" w:rsidRPr="007224AB" w:rsidRDefault="007224AB" w:rsidP="00BB24A4">
      <w:pPr>
        <w:spacing w:after="0" w:line="240" w:lineRule="auto"/>
        <w:contextualSpacing/>
        <w:rPr>
          <w:rFonts w:ascii="Tahoma" w:hAnsi="Tahoma" w:cs="Tahoma"/>
          <w:b/>
        </w:rPr>
        <w:sectPr w:rsidR="007224AB" w:rsidRPr="007224AB" w:rsidSect="009E3B0A">
          <w:type w:val="continuous"/>
          <w:pgSz w:w="11906" w:h="16838" w:code="9"/>
          <w:pgMar w:top="1134" w:right="1134" w:bottom="1134" w:left="1134" w:header="709" w:footer="709" w:gutter="0"/>
          <w:cols w:num="2" w:space="282"/>
          <w:docGrid w:linePitch="360"/>
        </w:sectPr>
      </w:pPr>
    </w:p>
    <w:p w:rsidR="00F57562" w:rsidRPr="00CE55B7" w:rsidRDefault="006D2CFE" w:rsidP="00BB24A4">
      <w:pPr>
        <w:spacing w:after="0" w:line="240" w:lineRule="auto"/>
        <w:contextualSpacing/>
        <w:rPr>
          <w:rFonts w:ascii="Tahoma" w:hAnsi="Tahoma" w:cs="Tahoma"/>
          <w:b/>
        </w:rPr>
      </w:pPr>
      <w:r w:rsidRPr="00CE55B7">
        <w:rPr>
          <w:rFonts w:ascii="Tahoma" w:hAnsi="Tahoma" w:cs="Tahoma"/>
          <w:b/>
          <w:lang w:val="id-ID"/>
        </w:rPr>
        <w:lastRenderedPageBreak/>
        <w:t>Operasional</w:t>
      </w:r>
      <w:r w:rsidR="00D7548E" w:rsidRPr="00CE55B7">
        <w:rPr>
          <w:rFonts w:ascii="Tahoma" w:hAnsi="Tahoma" w:cs="Tahoma"/>
          <w:b/>
          <w:lang w:val="id-ID"/>
        </w:rPr>
        <w:t>isasi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Variabel</w:t>
      </w:r>
    </w:p>
    <w:p w:rsidR="00940AAD" w:rsidRPr="00CE55B7" w:rsidRDefault="00940AAD" w:rsidP="007224AB">
      <w:pPr>
        <w:spacing w:after="0" w:line="240" w:lineRule="auto"/>
        <w:ind w:firstLine="720"/>
        <w:contextualSpacing/>
        <w:rPr>
          <w:rFonts w:ascii="Tahoma" w:hAnsi="Tahoma" w:cs="Tahoma"/>
        </w:rPr>
      </w:pPr>
      <w:r w:rsidRPr="00CE55B7">
        <w:rPr>
          <w:rFonts w:ascii="Tahoma" w:hAnsi="Tahoma" w:cs="Tahoma"/>
        </w:rPr>
        <w:t>Untuk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mengoperasionalkan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varfiabel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dalam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penelitian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maka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variabel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diukur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sebagai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berikut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</w:rPr>
        <w:t>(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lihat</w:t>
      </w:r>
      <w:proofErr w:type="gramEnd"/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table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1).</w:t>
      </w:r>
    </w:p>
    <w:p w:rsidR="00D7548E" w:rsidRPr="00B33D0B" w:rsidRDefault="00D7548E" w:rsidP="00BB24A4">
      <w:pPr>
        <w:spacing w:after="0" w:line="240" w:lineRule="auto"/>
        <w:contextualSpacing/>
        <w:jc w:val="center"/>
        <w:rPr>
          <w:rFonts w:ascii="Tahoma" w:hAnsi="Tahoma" w:cs="Tahoma"/>
          <w:lang w:val="id-ID"/>
        </w:rPr>
      </w:pPr>
      <w:r w:rsidRPr="00B33D0B">
        <w:rPr>
          <w:rFonts w:ascii="Tahoma" w:hAnsi="Tahoma" w:cs="Tahoma"/>
          <w:lang w:val="id-ID"/>
        </w:rPr>
        <w:t>Tabel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1</w:t>
      </w:r>
    </w:p>
    <w:p w:rsidR="00D7548E" w:rsidRPr="00B33D0B" w:rsidRDefault="00D7548E" w:rsidP="00BB24A4">
      <w:pPr>
        <w:spacing w:after="0" w:line="240" w:lineRule="auto"/>
        <w:contextualSpacing/>
        <w:jc w:val="center"/>
        <w:rPr>
          <w:rFonts w:ascii="Tahoma" w:hAnsi="Tahoma" w:cs="Tahoma"/>
          <w:lang w:val="id-ID"/>
        </w:rPr>
      </w:pPr>
      <w:r w:rsidRPr="00B33D0B">
        <w:rPr>
          <w:rFonts w:ascii="Tahoma" w:hAnsi="Tahoma" w:cs="Tahoma"/>
          <w:lang w:val="id-ID"/>
        </w:rPr>
        <w:t>Operasionalisasi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Variabel</w:t>
      </w:r>
    </w:p>
    <w:p w:rsidR="00D7548E" w:rsidRPr="00CE55B7" w:rsidRDefault="00D7548E" w:rsidP="00BB24A4">
      <w:pPr>
        <w:spacing w:after="0" w:line="240" w:lineRule="auto"/>
        <w:contextualSpacing/>
        <w:jc w:val="center"/>
        <w:rPr>
          <w:rFonts w:ascii="Tahoma" w:hAnsi="Tahoma" w:cs="Tahoma"/>
          <w:b/>
          <w:lang w:val="id-ID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030"/>
        <w:gridCol w:w="1134"/>
        <w:gridCol w:w="4502"/>
      </w:tblGrid>
      <w:tr w:rsidR="00D7548E" w:rsidRPr="00CE55B7" w:rsidTr="007224AB">
        <w:trPr>
          <w:trHeight w:val="438"/>
          <w:jc w:val="center"/>
        </w:trPr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b/>
                <w:lang w:val="id-ID"/>
              </w:rPr>
            </w:pPr>
            <w:r w:rsidRPr="00CE55B7">
              <w:rPr>
                <w:rFonts w:ascii="Tahoma" w:hAnsi="Tahoma" w:cs="Tahoma"/>
                <w:b/>
                <w:lang w:val="id-ID"/>
              </w:rPr>
              <w:t>No</w:t>
            </w:r>
            <w:r w:rsidR="00CE55B7">
              <w:rPr>
                <w:rFonts w:ascii="Tahoma" w:hAnsi="Tahoma" w:cs="Tahoma"/>
                <w:b/>
                <w:lang w:val="id-ID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b/>
                <w:lang w:val="id-ID"/>
              </w:rPr>
            </w:pPr>
            <w:r w:rsidRPr="00CE55B7">
              <w:rPr>
                <w:rFonts w:ascii="Tahoma" w:hAnsi="Tahoma" w:cs="Tahoma"/>
                <w:b/>
                <w:lang w:val="id-ID"/>
              </w:rPr>
              <w:t>Variabel</w:t>
            </w:r>
            <w:r w:rsidR="00CE55B7">
              <w:rPr>
                <w:rFonts w:ascii="Tahoma" w:hAnsi="Tahoma" w:cs="Tahoma"/>
                <w:b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b/>
                <w:lang w:val="id-ID"/>
              </w:rPr>
            </w:pPr>
            <w:r w:rsidRPr="00CE55B7">
              <w:rPr>
                <w:rFonts w:ascii="Tahoma" w:hAnsi="Tahoma" w:cs="Tahoma"/>
                <w:b/>
                <w:lang w:val="id-ID"/>
              </w:rPr>
              <w:t>Skala</w:t>
            </w:r>
            <w:r w:rsidR="00CE55B7">
              <w:rPr>
                <w:rFonts w:ascii="Tahoma" w:hAnsi="Tahoma" w:cs="Tahoma"/>
                <w:b/>
                <w:lang w:val="id-ID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b/>
                <w:lang w:val="id-ID"/>
              </w:rPr>
            </w:pPr>
            <w:r w:rsidRPr="00CE55B7">
              <w:rPr>
                <w:rFonts w:ascii="Tahoma" w:hAnsi="Tahoma" w:cs="Tahoma"/>
                <w:b/>
                <w:lang w:val="id-ID"/>
              </w:rPr>
              <w:t>Pengukuran</w:t>
            </w:r>
            <w:r w:rsidR="00CE55B7">
              <w:rPr>
                <w:rFonts w:ascii="Tahoma" w:hAnsi="Tahoma" w:cs="Tahoma"/>
                <w:b/>
                <w:lang w:val="id-ID"/>
              </w:rPr>
              <w:t xml:space="preserve"> </w:t>
            </w:r>
          </w:p>
        </w:tc>
      </w:tr>
      <w:tr w:rsidR="00D7548E" w:rsidRPr="00CE55B7" w:rsidTr="007224AB">
        <w:trPr>
          <w:trHeight w:val="674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 w:themeColor="text1"/>
            </w:tcBorders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i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i/>
                <w:lang w:val="id-ID"/>
              </w:rPr>
              <w:t>Return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On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Asset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(ROA)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Rasio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(%)</w:t>
            </w:r>
          </w:p>
        </w:tc>
        <w:tc>
          <w:tcPr>
            <w:tcW w:w="4502" w:type="dxa"/>
            <w:tcBorders>
              <w:top w:val="single" w:sz="4" w:space="0" w:color="000000" w:themeColor="text1"/>
            </w:tcBorders>
          </w:tcPr>
          <w:p w:rsidR="00D7548E" w:rsidRPr="00CE55B7" w:rsidRDefault="00D7548E" w:rsidP="00BB24A4">
            <w:pPr>
              <w:contextualSpacing/>
              <w:jc w:val="both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</w:rPr>
              <w:t>ROA</w:t>
            </w:r>
            <w:r w:rsidRPr="00CE55B7">
              <w:rPr>
                <w:rFonts w:ascii="Tahoma" w:hAnsi="Tahoma" w:cs="Tahoma"/>
                <w:lang w:val="id-ID"/>
              </w:rPr>
              <w:t>=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Laba Sebelum Pajak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 Total Aset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</w:rPr>
                <m:t xml:space="preserve"> x 100 %</m:t>
              </m:r>
            </m:oMath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D7548E" w:rsidRPr="00CE55B7" w:rsidTr="007224AB">
        <w:trPr>
          <w:jc w:val="center"/>
        </w:trPr>
        <w:tc>
          <w:tcPr>
            <w:tcW w:w="675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2</w:t>
            </w:r>
          </w:p>
        </w:tc>
        <w:tc>
          <w:tcPr>
            <w:tcW w:w="2030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i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i/>
                <w:lang w:val="id-ID"/>
              </w:rPr>
              <w:t>Non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Performing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Loan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(NPL)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/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Non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Performing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Financing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(NPF)</w:t>
            </w:r>
          </w:p>
        </w:tc>
        <w:tc>
          <w:tcPr>
            <w:tcW w:w="1134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Rasio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(%)</w:t>
            </w:r>
          </w:p>
        </w:tc>
        <w:tc>
          <w:tcPr>
            <w:tcW w:w="4502" w:type="dxa"/>
          </w:tcPr>
          <w:p w:rsidR="00D7548E" w:rsidRPr="00CE55B7" w:rsidRDefault="00D7548E" w:rsidP="00BB24A4">
            <w:pPr>
              <w:contextualSpacing/>
              <w:jc w:val="both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</w:rPr>
              <w:t>NPL=</w:t>
            </w:r>
            <w:r w:rsidR="00CE55B7">
              <w:rPr>
                <w:rFonts w:ascii="Tahoma" w:hAnsi="Tahoma" w:cs="Taho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Kredit Bermasalah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Total Kredit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</w:rPr>
                <m:t xml:space="preserve"> x 100 %</m:t>
              </m:r>
            </m:oMath>
          </w:p>
          <w:p w:rsidR="00D7548E" w:rsidRPr="00CE55B7" w:rsidRDefault="00D7548E" w:rsidP="00BB24A4">
            <w:pPr>
              <w:contextualSpacing/>
              <w:jc w:val="both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</w:rPr>
              <w:t>NP</w:t>
            </w:r>
            <w:r w:rsidRPr="00CE55B7">
              <w:rPr>
                <w:rFonts w:ascii="Tahoma" w:hAnsi="Tahoma" w:cs="Tahoma"/>
                <w:lang w:val="id-ID"/>
              </w:rPr>
              <w:t>F</w:t>
            </w:r>
            <w:r w:rsidRPr="00CE55B7">
              <w:rPr>
                <w:rFonts w:ascii="Tahoma" w:hAnsi="Tahoma" w:cs="Tahoma"/>
              </w:rPr>
              <w:t>=</w:t>
            </w:r>
            <w:r w:rsidR="00CE55B7">
              <w:rPr>
                <w:rFonts w:ascii="Tahoma" w:hAnsi="Tahoma" w:cs="Taho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Pembiayaan (KL,D,M)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Total Pembiayaan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</w:rPr>
                <m:t xml:space="preserve"> x 100 %</m:t>
              </m:r>
            </m:oMath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D7548E" w:rsidRPr="00CE55B7" w:rsidTr="007224AB">
        <w:trPr>
          <w:jc w:val="center"/>
        </w:trPr>
        <w:tc>
          <w:tcPr>
            <w:tcW w:w="675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3</w:t>
            </w:r>
          </w:p>
        </w:tc>
        <w:tc>
          <w:tcPr>
            <w:tcW w:w="2030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i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i/>
                <w:lang w:val="id-ID"/>
              </w:rPr>
              <w:t>Loan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to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Deposite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Ratio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(LDR)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/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Financing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to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Deposite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Ratio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(FDR)</w:t>
            </w:r>
          </w:p>
        </w:tc>
        <w:tc>
          <w:tcPr>
            <w:tcW w:w="1134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Rasio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(%)</w:t>
            </w:r>
          </w:p>
        </w:tc>
        <w:tc>
          <w:tcPr>
            <w:tcW w:w="4502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iCs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iCs/>
              </w:rPr>
              <w:t>LDR</w:t>
            </w:r>
            <w:r w:rsidR="00CE55B7">
              <w:rPr>
                <w:rFonts w:ascii="Tahoma" w:hAnsi="Tahoma" w:cs="Tahoma"/>
                <w:iCs/>
              </w:rPr>
              <w:t xml:space="preserve"> </w:t>
            </w:r>
            <w:r w:rsidRPr="00CE55B7">
              <w:rPr>
                <w:rFonts w:ascii="Tahoma" w:hAnsi="Tahoma" w:cs="Tahoma"/>
                <w:iCs/>
              </w:rPr>
              <w:t>=</w:t>
            </w:r>
            <w:r w:rsidR="00CE55B7">
              <w:rPr>
                <w:rFonts w:ascii="Tahoma" w:hAnsi="Tahoma" w:cs="Tahoma"/>
                <w:i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Total Kredit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Dana Pihak Ketiga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</w:rPr>
                <m:t xml:space="preserve"> x 100 %</m:t>
              </m:r>
            </m:oMath>
          </w:p>
          <w:p w:rsidR="00D7548E" w:rsidRPr="00CE55B7" w:rsidRDefault="00D7548E" w:rsidP="00BB24A4">
            <w:pPr>
              <w:contextualSpacing/>
              <w:jc w:val="both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iCs/>
                <w:lang w:val="id-ID"/>
              </w:rPr>
              <w:t>F</w:t>
            </w:r>
            <w:r w:rsidRPr="00CE55B7">
              <w:rPr>
                <w:rFonts w:ascii="Tahoma" w:hAnsi="Tahoma" w:cs="Tahoma"/>
                <w:iCs/>
              </w:rPr>
              <w:t>DR</w:t>
            </w:r>
            <w:r w:rsidR="00CE55B7">
              <w:rPr>
                <w:rFonts w:ascii="Tahoma" w:hAnsi="Tahoma" w:cs="Tahoma"/>
                <w:iCs/>
              </w:rPr>
              <w:t xml:space="preserve"> </w:t>
            </w:r>
            <w:r w:rsidRPr="00CE55B7">
              <w:rPr>
                <w:rFonts w:ascii="Tahoma" w:hAnsi="Tahoma" w:cs="Tahoma"/>
                <w:iCs/>
              </w:rPr>
              <w:t>=</w:t>
            </w:r>
            <w:r w:rsidR="00CE55B7">
              <w:rPr>
                <w:rFonts w:ascii="Tahoma" w:hAnsi="Tahoma" w:cs="Tahoma"/>
                <w:i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Total Pembiayaan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Dana Pihak Ketiga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</w:rPr>
                <m:t xml:space="preserve"> x 100 %</m:t>
              </m:r>
            </m:oMath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D7548E" w:rsidRPr="00CE55B7" w:rsidTr="007224AB">
        <w:trPr>
          <w:jc w:val="center"/>
        </w:trPr>
        <w:tc>
          <w:tcPr>
            <w:tcW w:w="675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4</w:t>
            </w:r>
          </w:p>
        </w:tc>
        <w:tc>
          <w:tcPr>
            <w:tcW w:w="2030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i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i/>
                <w:lang w:val="id-ID"/>
              </w:rPr>
              <w:t>Good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Corporate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Governance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(GCG)</w:t>
            </w: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1134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Rasio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(%)</w:t>
            </w:r>
          </w:p>
        </w:tc>
        <w:tc>
          <w:tcPr>
            <w:tcW w:w="4502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iCs/>
                <w:lang w:val="id-ID"/>
              </w:rPr>
            </w:pPr>
          </w:p>
          <w:p w:rsidR="00D7548E" w:rsidRPr="00CE55B7" w:rsidRDefault="00D7548E" w:rsidP="00BB24A4">
            <w:pPr>
              <w:contextualSpacing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iCs/>
                <w:lang w:val="id-ID"/>
              </w:rPr>
              <w:t>IPCG</w:t>
            </w:r>
            <w:r w:rsidR="00CE55B7">
              <w:rPr>
                <w:rFonts w:ascii="Tahoma" w:hAnsi="Tahoma" w:cs="Tahoma"/>
                <w:iCs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Cs/>
                <w:lang w:val="id-ID"/>
              </w:rPr>
              <w:t>=</w:t>
            </w:r>
            <w:r w:rsidR="00CE55B7">
              <w:rPr>
                <w:rFonts w:ascii="Tahoma" w:hAnsi="Tahoma" w:cs="Tahoma"/>
                <w:iCs/>
                <w:lang w:val="id-ID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Cs/>
                      <w:lang w:val="id-ID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 w:cs="Tahoma"/>
                          <w:lang w:val="id-ID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id-ID"/>
                        </w:rPr>
                        <m:t>Total skor item yang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id-ID"/>
                        </w:rPr>
                        <m:t>diungkapkan oleh perusahaan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 w:cs="Tahoma"/>
                          <w:lang w:val="id-ID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id-ID"/>
                        </w:rPr>
                        <m:t>Skor maksimum yang seharusnya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id-ID"/>
                        </w:rPr>
                        <m:t>diungkapkan oleh perusahaan</m:t>
                      </m:r>
                    </m:e>
                  </m:eqAr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lang w:val="id-ID"/>
                </w:rPr>
                <m:t xml:space="preserve"> x </m:t>
              </m:r>
              <m:r>
                <w:rPr>
                  <w:rFonts w:ascii="Cambria Math" w:hAnsi="Cambria Math" w:cs="Tahoma"/>
                  <w:lang w:val="id-ID"/>
                </w:rPr>
                <m:t>100%</m:t>
              </m:r>
            </m:oMath>
            <w:r w:rsidRPr="00CE55B7">
              <w:rPr>
                <w:rFonts w:ascii="Tahoma" w:hAnsi="Tahoma" w:cs="Tahoma"/>
              </w:rPr>
              <w:t>.</w:t>
            </w:r>
          </w:p>
        </w:tc>
      </w:tr>
      <w:tr w:rsidR="00D7548E" w:rsidRPr="00CE55B7" w:rsidTr="007224AB">
        <w:trPr>
          <w:jc w:val="center"/>
        </w:trPr>
        <w:tc>
          <w:tcPr>
            <w:tcW w:w="675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5</w:t>
            </w:r>
          </w:p>
        </w:tc>
        <w:tc>
          <w:tcPr>
            <w:tcW w:w="2030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i/>
                <w:lang w:val="id-ID"/>
              </w:rPr>
              <w:t>Net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Interest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Margin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(NIM)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/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Net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Operating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Margin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(NOM)</w:t>
            </w:r>
          </w:p>
        </w:tc>
        <w:tc>
          <w:tcPr>
            <w:tcW w:w="1134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Rasio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(%)</w:t>
            </w:r>
          </w:p>
        </w:tc>
        <w:tc>
          <w:tcPr>
            <w:tcW w:w="4502" w:type="dxa"/>
          </w:tcPr>
          <w:p w:rsidR="00D7548E" w:rsidRPr="00CE55B7" w:rsidRDefault="00D7548E" w:rsidP="00BB24A4">
            <w:pPr>
              <w:contextualSpacing/>
              <w:rPr>
                <w:rFonts w:ascii="Tahoma" w:hAnsi="Tahoma" w:cs="Tahoma"/>
                <w:iCs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iCs/>
                <w:lang w:val="id-ID"/>
              </w:rPr>
              <w:t>NIM</w:t>
            </w:r>
            <w:r w:rsidR="00CE55B7">
              <w:rPr>
                <w:rFonts w:ascii="Tahoma" w:hAnsi="Tahoma" w:cs="Tahoma"/>
                <w:iCs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Cs/>
                <w:lang w:val="id-ID"/>
              </w:rPr>
              <w:t>=</w:t>
            </w:r>
            <w:r w:rsidR="00CE55B7">
              <w:rPr>
                <w:rFonts w:ascii="Tahoma" w:hAnsi="Tahoma" w:cs="Tahoma"/>
                <w:iCs/>
                <w:lang w:val="id-ID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Cs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id-ID"/>
                    </w:rPr>
                    <m:t>Pendapatan Bunga Bersih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id-ID"/>
                    </w:rPr>
                    <m:t xml:space="preserve"> Aktiva Produktif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lang w:val="id-ID"/>
                </w:rPr>
                <m:t>×</m:t>
              </m:r>
              <m:r>
                <w:rPr>
                  <w:rFonts w:ascii="Cambria Math" w:hAnsi="Cambria Math" w:cs="Tahoma"/>
                  <w:lang w:val="id-ID"/>
                </w:rPr>
                <m:t>100%</m:t>
              </m:r>
            </m:oMath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iCs/>
                <w:lang w:val="id-ID"/>
              </w:rPr>
              <w:t>NOM</w:t>
            </w:r>
            <w:r w:rsidR="00CE55B7">
              <w:rPr>
                <w:rFonts w:ascii="Tahoma" w:hAnsi="Tahoma" w:cs="Tahoma"/>
                <w:iCs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Cs/>
                <w:lang w:val="id-ID"/>
              </w:rPr>
              <w:t>=</w:t>
            </w:r>
            <w:r w:rsidR="00CE55B7">
              <w:rPr>
                <w:rFonts w:ascii="Tahoma" w:hAnsi="Tahoma" w:cs="Tahoma"/>
                <w:iCs/>
                <w:lang w:val="id-ID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Cs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id-ID"/>
                    </w:rPr>
                    <m:t>Pendapatan Bagi Hasil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id-ID"/>
                    </w:rPr>
                    <m:t xml:space="preserve"> Aktiva Produktif</m:t>
                  </m:r>
                </m:den>
              </m:f>
              <m:r>
                <w:rPr>
                  <w:rFonts w:ascii="Cambria Math" w:hAnsi="Cambria Math" w:cs="Tahoma"/>
                  <w:lang w:val="id-ID"/>
                </w:rPr>
                <m:t>×100%</m:t>
              </m:r>
            </m:oMath>
          </w:p>
        </w:tc>
      </w:tr>
      <w:tr w:rsidR="00D7548E" w:rsidRPr="00CE55B7" w:rsidTr="007224AB">
        <w:trPr>
          <w:jc w:val="center"/>
        </w:trPr>
        <w:tc>
          <w:tcPr>
            <w:tcW w:w="675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6</w:t>
            </w:r>
          </w:p>
        </w:tc>
        <w:tc>
          <w:tcPr>
            <w:tcW w:w="2030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Biaya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Operasional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terhadap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Pendapatan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Operasional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(BOPO)</w:t>
            </w:r>
          </w:p>
        </w:tc>
        <w:tc>
          <w:tcPr>
            <w:tcW w:w="1134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Rasio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(%)</w:t>
            </w:r>
          </w:p>
        </w:tc>
        <w:tc>
          <w:tcPr>
            <w:tcW w:w="4502" w:type="dxa"/>
          </w:tcPr>
          <w:p w:rsidR="00D7548E" w:rsidRPr="00CE55B7" w:rsidRDefault="00D7548E" w:rsidP="00BB24A4">
            <w:pPr>
              <w:contextualSpacing/>
              <w:rPr>
                <w:rFonts w:ascii="Tahoma" w:hAnsi="Tahoma" w:cs="Tahoma"/>
                <w:iCs/>
                <w:lang w:val="id-ID"/>
              </w:rPr>
            </w:pPr>
          </w:p>
          <w:p w:rsidR="00D7548E" w:rsidRPr="00CE55B7" w:rsidRDefault="00D7548E" w:rsidP="00BB24A4">
            <w:pPr>
              <w:contextualSpacing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iCs/>
                <w:lang w:val="id-ID"/>
              </w:rPr>
              <w:t>BOPO</w:t>
            </w:r>
            <w:r w:rsidR="00CE55B7">
              <w:rPr>
                <w:rFonts w:ascii="Tahoma" w:hAnsi="Tahoma" w:cs="Tahoma"/>
                <w:iCs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Cs/>
                <w:lang w:val="id-ID"/>
              </w:rPr>
              <w:t>=</w:t>
            </w:r>
            <w:r w:rsidR="00CE55B7">
              <w:rPr>
                <w:rFonts w:ascii="Tahoma" w:hAnsi="Tahoma" w:cs="Tahoma"/>
                <w:iCs/>
                <w:lang w:val="id-ID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Cs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id-ID"/>
                    </w:rPr>
                    <m:t>Total Biaya Operasional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id-ID"/>
                    </w:rPr>
                    <m:t>Total Pendapatan Operasional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lang w:val="id-ID"/>
                </w:rPr>
                <m:t>×</m:t>
              </m:r>
              <m:r>
                <w:rPr>
                  <w:rFonts w:ascii="Cambria Math" w:hAnsi="Cambria Math" w:cs="Tahoma"/>
                  <w:lang w:val="id-ID"/>
                </w:rPr>
                <m:t>100%</m:t>
              </m:r>
            </m:oMath>
          </w:p>
        </w:tc>
      </w:tr>
      <w:tr w:rsidR="00D7548E" w:rsidRPr="00CE55B7" w:rsidTr="007224AB">
        <w:trPr>
          <w:jc w:val="center"/>
        </w:trPr>
        <w:tc>
          <w:tcPr>
            <w:tcW w:w="675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7</w:t>
            </w:r>
          </w:p>
        </w:tc>
        <w:tc>
          <w:tcPr>
            <w:tcW w:w="2030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i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i/>
                <w:lang w:val="id-ID"/>
              </w:rPr>
              <w:t>Capital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Adequacy</w:t>
            </w:r>
            <w:r w:rsidR="00CE55B7">
              <w:rPr>
                <w:rFonts w:ascii="Tahoma" w:hAnsi="Tahoma" w:cs="Tahoma"/>
                <w:i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i/>
                <w:lang w:val="id-ID"/>
              </w:rPr>
              <w:t>Ratio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(CAR)</w:t>
            </w:r>
          </w:p>
        </w:tc>
        <w:tc>
          <w:tcPr>
            <w:tcW w:w="1134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Rasio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(%)</w:t>
            </w:r>
          </w:p>
        </w:tc>
        <w:tc>
          <w:tcPr>
            <w:tcW w:w="4502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CAR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aho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Total Ekuitas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Total Aset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</w:rPr>
                <m:t xml:space="preserve"> x 100 %</m:t>
              </m:r>
            </m:oMath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D7548E" w:rsidRPr="00CE55B7" w:rsidTr="007224AB">
        <w:trPr>
          <w:trHeight w:val="77"/>
          <w:jc w:val="center"/>
        </w:trPr>
        <w:tc>
          <w:tcPr>
            <w:tcW w:w="675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8</w:t>
            </w:r>
          </w:p>
        </w:tc>
        <w:tc>
          <w:tcPr>
            <w:tcW w:w="2030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Jenis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Bank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(Dummy)</w:t>
            </w:r>
          </w:p>
        </w:tc>
        <w:tc>
          <w:tcPr>
            <w:tcW w:w="1134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Nominal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</w:p>
        </w:tc>
        <w:tc>
          <w:tcPr>
            <w:tcW w:w="4502" w:type="dxa"/>
          </w:tcPr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Menggunakan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dummy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variabel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dimana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“1”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untuk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bank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konvensional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dan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“0”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untuk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bank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syariah</w:t>
            </w:r>
          </w:p>
          <w:p w:rsidR="00D7548E" w:rsidRPr="00CE55B7" w:rsidRDefault="00D7548E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</w:p>
        </w:tc>
      </w:tr>
    </w:tbl>
    <w:p w:rsidR="00D7548E" w:rsidRPr="00CE55B7" w:rsidRDefault="00D7548E" w:rsidP="00BB24A4">
      <w:pPr>
        <w:spacing w:after="0" w:line="240" w:lineRule="auto"/>
        <w:contextualSpacing/>
        <w:rPr>
          <w:rFonts w:ascii="Tahoma" w:hAnsi="Tahoma" w:cs="Tahoma"/>
          <w:lang w:val="id-ID"/>
        </w:rPr>
      </w:pPr>
    </w:p>
    <w:p w:rsidR="00BB24A4" w:rsidRDefault="00BB24A4" w:rsidP="00BB24A4">
      <w:pPr>
        <w:spacing w:after="0" w:line="240" w:lineRule="auto"/>
        <w:contextualSpacing/>
        <w:rPr>
          <w:rFonts w:ascii="Tahoma" w:hAnsi="Tahoma" w:cs="Tahoma"/>
          <w:b/>
          <w:lang w:val="id-ID"/>
        </w:rPr>
        <w:sectPr w:rsidR="00BB24A4" w:rsidSect="009E3B0A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711430" w:rsidRPr="00CE55B7" w:rsidRDefault="00711430" w:rsidP="00BB24A4">
      <w:pPr>
        <w:spacing w:after="0" w:line="240" w:lineRule="auto"/>
        <w:contextualSpacing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b/>
          <w:lang w:val="id-ID"/>
        </w:rPr>
        <w:lastRenderedPageBreak/>
        <w:t>Teknik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Analisis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Data</w:t>
      </w:r>
    </w:p>
    <w:p w:rsidR="00711430" w:rsidRPr="00CE55B7" w:rsidRDefault="00711430" w:rsidP="00BB24A4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Analisis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Statistik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Deskriptif</w:t>
      </w:r>
    </w:p>
    <w:p w:rsidR="00711430" w:rsidRPr="00CE55B7" w:rsidRDefault="00711430" w:rsidP="00BB24A4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Statistik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deskriptif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memberi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gambaran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mengenai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dilihat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(rerata),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standar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deviasi,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maksimum,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minimum,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(Sekaran,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2006).</w:t>
      </w:r>
    </w:p>
    <w:p w:rsidR="00711430" w:rsidRPr="00CE55B7" w:rsidRDefault="00711430" w:rsidP="00BB24A4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Uji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Asumsi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Klasik</w:t>
      </w:r>
    </w:p>
    <w:p w:rsidR="00711430" w:rsidRPr="00CE55B7" w:rsidRDefault="00711430" w:rsidP="00BB24A4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Uji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asumsi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klasik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uji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normalitas,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uji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autokorelasi,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uji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heteroskedastisitas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uji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multikolinearitas.</w:t>
      </w:r>
    </w:p>
    <w:p w:rsidR="00BB24A4" w:rsidRDefault="00711430" w:rsidP="00BB24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val="id-ID"/>
        </w:rPr>
        <w:sectPr w:rsidR="00BB24A4" w:rsidSect="00BB24A4">
          <w:type w:val="continuous"/>
          <w:pgSz w:w="11906" w:h="16838" w:code="9"/>
          <w:pgMar w:top="1134" w:right="1134" w:bottom="1134" w:left="1134" w:header="709" w:footer="709" w:gutter="0"/>
          <w:cols w:num="2" w:space="282"/>
          <w:docGrid w:linePitch="360"/>
        </w:sectPr>
      </w:pPr>
      <w:r w:rsidRPr="00CE55B7">
        <w:rPr>
          <w:rFonts w:ascii="Tahoma" w:hAnsi="Tahoma" w:cs="Tahoma"/>
          <w:lang w:val="id-ID"/>
        </w:rPr>
        <w:lastRenderedPageBreak/>
        <w:t>Analisis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Linear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Berganda</w:t>
      </w:r>
    </w:p>
    <w:p w:rsidR="00BB24A4" w:rsidRDefault="00BB24A4" w:rsidP="00BB24A4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</w:p>
    <w:p w:rsidR="00BB24A4" w:rsidRDefault="00BB24A4" w:rsidP="00BB24A4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</w:p>
    <w:p w:rsidR="00711430" w:rsidRPr="00CE55B7" w:rsidRDefault="00711430" w:rsidP="00BB24A4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Persamaan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berikut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:</w:t>
      </w:r>
    </w:p>
    <w:p w:rsidR="00711430" w:rsidRPr="00CE55B7" w:rsidRDefault="00711430" w:rsidP="00BB24A4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Y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=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α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+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β1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X1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+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β2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X2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+β3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X3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+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β4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X4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+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β5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X5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+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β6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X6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+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β7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X7+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ε</w:t>
      </w:r>
    </w:p>
    <w:p w:rsidR="00F57562" w:rsidRPr="00CE55B7" w:rsidRDefault="00F57562" w:rsidP="00BB24A4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lang w:val="id-ID"/>
        </w:rPr>
      </w:pPr>
    </w:p>
    <w:p w:rsidR="00711430" w:rsidRPr="00CE55B7" w:rsidRDefault="00711430" w:rsidP="00BB24A4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Keterangan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:</w:t>
      </w:r>
      <w:r w:rsidRPr="00CE55B7">
        <w:rPr>
          <w:rFonts w:ascii="Tahoma" w:hAnsi="Tahoma" w:cs="Tahoma"/>
          <w:lang w:val="id-ID"/>
        </w:rPr>
        <w:tab/>
      </w:r>
    </w:p>
    <w:p w:rsidR="00711430" w:rsidRPr="00CE55B7" w:rsidRDefault="00711430" w:rsidP="00BB24A4">
      <w:pPr>
        <w:pStyle w:val="ListParagraph"/>
        <w:spacing w:after="0" w:line="240" w:lineRule="auto"/>
        <w:ind w:left="360" w:firstLine="360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Y</w:t>
      </w:r>
      <w:r w:rsidRPr="00CE55B7">
        <w:rPr>
          <w:rFonts w:ascii="Tahoma" w:hAnsi="Tahoma" w:cs="Tahoma"/>
          <w:lang w:val="id-ID"/>
        </w:rPr>
        <w:tab/>
        <w:t>=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Pr="00CE55B7">
        <w:rPr>
          <w:rFonts w:ascii="Tahoma" w:hAnsi="Tahoma" w:cs="Tahoma"/>
          <w:lang w:val="id-ID"/>
        </w:rPr>
        <w:tab/>
      </w:r>
      <w:r w:rsidRPr="00CE55B7">
        <w:rPr>
          <w:rFonts w:ascii="Tahoma" w:hAnsi="Tahoma" w:cs="Tahoma"/>
          <w:lang w:val="id-ID"/>
        </w:rPr>
        <w:tab/>
      </w:r>
      <w:r w:rsidRPr="00CE55B7">
        <w:rPr>
          <w:rFonts w:ascii="Tahoma" w:hAnsi="Tahoma" w:cs="Tahoma"/>
          <w:lang w:val="id-ID"/>
        </w:rPr>
        <w:tab/>
        <w:t>X4</w:t>
      </w:r>
      <w:r w:rsidRPr="00CE55B7">
        <w:rPr>
          <w:rFonts w:ascii="Tahoma" w:hAnsi="Tahoma" w:cs="Tahoma"/>
          <w:lang w:val="id-ID"/>
        </w:rPr>
        <w:tab/>
        <w:t>=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</w:t>
      </w:r>
    </w:p>
    <w:p w:rsidR="00711430" w:rsidRPr="00CE55B7" w:rsidRDefault="00711430" w:rsidP="00BB24A4">
      <w:pPr>
        <w:pStyle w:val="ListParagraph"/>
        <w:spacing w:after="0" w:line="240" w:lineRule="auto"/>
        <w:ind w:left="360" w:firstLine="360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α</w:t>
      </w:r>
      <w:r w:rsidRPr="00CE55B7">
        <w:rPr>
          <w:rFonts w:ascii="Tahoma" w:hAnsi="Tahoma" w:cs="Tahoma"/>
          <w:lang w:val="id-ID"/>
        </w:rPr>
        <w:tab/>
        <w:t>=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Konstanta</w:t>
      </w:r>
      <w:r w:rsidRPr="00CE55B7">
        <w:rPr>
          <w:rFonts w:ascii="Tahoma" w:hAnsi="Tahoma" w:cs="Tahoma"/>
          <w:lang w:val="id-ID"/>
        </w:rPr>
        <w:tab/>
      </w:r>
      <w:r w:rsidRPr="00CE55B7">
        <w:rPr>
          <w:rFonts w:ascii="Tahoma" w:hAnsi="Tahoma" w:cs="Tahoma"/>
          <w:lang w:val="id-ID"/>
        </w:rPr>
        <w:tab/>
        <w:t>X5</w:t>
      </w:r>
      <w:r w:rsidRPr="00CE55B7">
        <w:rPr>
          <w:rFonts w:ascii="Tahoma" w:hAnsi="Tahoma" w:cs="Tahoma"/>
          <w:lang w:val="id-ID"/>
        </w:rPr>
        <w:tab/>
        <w:t>=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</w:t>
      </w:r>
    </w:p>
    <w:p w:rsidR="00711430" w:rsidRPr="00CE55B7" w:rsidRDefault="00711430" w:rsidP="00BB24A4">
      <w:pPr>
        <w:pStyle w:val="ListParagraph"/>
        <w:spacing w:after="0" w:line="240" w:lineRule="auto"/>
        <w:ind w:left="360" w:firstLine="360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β</w:t>
      </w:r>
      <w:r w:rsidRPr="00CE55B7">
        <w:rPr>
          <w:rFonts w:ascii="Tahoma" w:hAnsi="Tahoma" w:cs="Tahoma"/>
          <w:lang w:val="id-ID"/>
        </w:rPr>
        <w:tab/>
        <w:t>=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Pr="00CE55B7">
        <w:rPr>
          <w:rFonts w:ascii="Tahoma" w:hAnsi="Tahoma" w:cs="Tahoma"/>
          <w:lang w:val="id-ID"/>
        </w:rPr>
        <w:tab/>
        <w:t>X6</w:t>
      </w:r>
      <w:r w:rsidRPr="00CE55B7">
        <w:rPr>
          <w:rFonts w:ascii="Tahoma" w:hAnsi="Tahoma" w:cs="Tahoma"/>
          <w:lang w:val="id-ID"/>
        </w:rPr>
        <w:tab/>
        <w:t>=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</w:p>
    <w:p w:rsidR="00711430" w:rsidRPr="00CE55B7" w:rsidRDefault="00711430" w:rsidP="00BB24A4">
      <w:pPr>
        <w:pStyle w:val="ListParagraph"/>
        <w:spacing w:after="0" w:line="240" w:lineRule="auto"/>
        <w:ind w:left="360" w:firstLine="360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X1</w:t>
      </w:r>
      <w:r w:rsidRPr="00CE55B7">
        <w:rPr>
          <w:rFonts w:ascii="Tahoma" w:hAnsi="Tahoma" w:cs="Tahoma"/>
          <w:lang w:val="id-ID"/>
        </w:rPr>
        <w:tab/>
        <w:t>=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</w:t>
      </w:r>
      <w:r w:rsidRPr="00CE55B7">
        <w:rPr>
          <w:rFonts w:ascii="Tahoma" w:hAnsi="Tahoma" w:cs="Tahoma"/>
          <w:lang w:val="id-ID"/>
        </w:rPr>
        <w:tab/>
      </w:r>
      <w:r w:rsidRPr="00CE55B7">
        <w:rPr>
          <w:rFonts w:ascii="Tahoma" w:hAnsi="Tahoma" w:cs="Tahoma"/>
          <w:lang w:val="id-ID"/>
        </w:rPr>
        <w:tab/>
        <w:t>X7</w:t>
      </w:r>
      <w:r w:rsidRPr="00CE55B7">
        <w:rPr>
          <w:rFonts w:ascii="Tahoma" w:hAnsi="Tahoma" w:cs="Tahoma"/>
          <w:lang w:val="id-ID"/>
        </w:rPr>
        <w:tab/>
        <w:t>=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</w:p>
    <w:p w:rsidR="00711430" w:rsidRPr="00CE55B7" w:rsidRDefault="00711430" w:rsidP="00BB24A4">
      <w:pPr>
        <w:pStyle w:val="ListParagraph"/>
        <w:spacing w:after="0" w:line="240" w:lineRule="auto"/>
        <w:ind w:left="360" w:firstLine="360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X2</w:t>
      </w:r>
      <w:r w:rsidRPr="00CE55B7">
        <w:rPr>
          <w:rFonts w:ascii="Tahoma" w:hAnsi="Tahoma" w:cs="Tahoma"/>
          <w:lang w:val="id-ID"/>
        </w:rPr>
        <w:tab/>
        <w:t>=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LDR/FDR</w:t>
      </w:r>
      <w:r w:rsidRPr="00CE55B7">
        <w:rPr>
          <w:rFonts w:ascii="Tahoma" w:hAnsi="Tahoma" w:cs="Tahoma"/>
          <w:lang w:val="id-ID"/>
        </w:rPr>
        <w:tab/>
      </w:r>
      <w:r w:rsidRPr="00CE55B7">
        <w:rPr>
          <w:rFonts w:ascii="Tahoma" w:hAnsi="Tahoma" w:cs="Tahoma"/>
          <w:lang w:val="id-ID"/>
        </w:rPr>
        <w:tab/>
        <w:t>ε</w:t>
      </w:r>
      <w:r w:rsidRPr="00CE55B7">
        <w:rPr>
          <w:rFonts w:ascii="Tahoma" w:hAnsi="Tahoma" w:cs="Tahoma"/>
          <w:lang w:val="id-ID"/>
        </w:rPr>
        <w:tab/>
        <w:t>=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Error</w:t>
      </w:r>
    </w:p>
    <w:p w:rsidR="002422A1" w:rsidRPr="00CE55B7" w:rsidRDefault="00711430" w:rsidP="00BB24A4">
      <w:pPr>
        <w:pStyle w:val="ListParagraph"/>
        <w:spacing w:after="0" w:line="240" w:lineRule="auto"/>
        <w:ind w:left="360" w:firstLine="360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X3</w:t>
      </w:r>
      <w:r w:rsidRPr="00CE55B7">
        <w:rPr>
          <w:rFonts w:ascii="Tahoma" w:hAnsi="Tahoma" w:cs="Tahoma"/>
          <w:lang w:val="id-ID"/>
        </w:rPr>
        <w:tab/>
        <w:t>=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</w:t>
      </w:r>
      <w:r w:rsidRPr="00CE55B7">
        <w:rPr>
          <w:rFonts w:ascii="Tahoma" w:hAnsi="Tahoma" w:cs="Tahoma"/>
          <w:lang w:val="id-ID"/>
        </w:rPr>
        <w:tab/>
      </w:r>
    </w:p>
    <w:p w:rsidR="00BB24A4" w:rsidRDefault="00BB24A4" w:rsidP="00BB24A4">
      <w:pPr>
        <w:spacing w:after="0" w:line="240" w:lineRule="auto"/>
        <w:jc w:val="both"/>
        <w:rPr>
          <w:rFonts w:ascii="Tahoma" w:hAnsi="Tahoma" w:cs="Tahoma"/>
        </w:rPr>
        <w:sectPr w:rsidR="00BB24A4" w:rsidSect="009E3B0A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57562" w:rsidRPr="00BB24A4" w:rsidRDefault="00F57562" w:rsidP="00BB24A4">
      <w:pPr>
        <w:spacing w:after="0" w:line="240" w:lineRule="auto"/>
        <w:jc w:val="both"/>
        <w:rPr>
          <w:rFonts w:ascii="Tahoma" w:hAnsi="Tahoma" w:cs="Tahoma"/>
        </w:rPr>
      </w:pPr>
    </w:p>
    <w:p w:rsidR="00711430" w:rsidRPr="00CE55B7" w:rsidRDefault="00711430" w:rsidP="00BB24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Uji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Hipotesis</w:t>
      </w:r>
    </w:p>
    <w:p w:rsidR="002422A1" w:rsidRPr="00CE55B7" w:rsidRDefault="002422A1" w:rsidP="00BB24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Uji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F</w:t>
      </w:r>
    </w:p>
    <w:p w:rsidR="002422A1" w:rsidRPr="00CE55B7" w:rsidRDefault="002422A1" w:rsidP="00BB24A4">
      <w:pPr>
        <w:pStyle w:val="ListParagraph"/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Pengujian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mengetahui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apakah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mempunyai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bersama-sama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serempak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independen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(X)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dependen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(Y).</w:t>
      </w:r>
    </w:p>
    <w:p w:rsidR="002422A1" w:rsidRPr="00CE55B7" w:rsidRDefault="002422A1" w:rsidP="00BB24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Uji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</w:t>
      </w:r>
    </w:p>
    <w:p w:rsidR="002422A1" w:rsidRPr="00CE55B7" w:rsidRDefault="002422A1" w:rsidP="00BB24A4">
      <w:pPr>
        <w:pStyle w:val="ListParagraph"/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Pengujian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membuktikan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apakah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tersebut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mempunyai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independen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(X)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dependen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(Y).</w:t>
      </w:r>
    </w:p>
    <w:p w:rsidR="00473BF1" w:rsidRPr="00CE55B7" w:rsidRDefault="00473BF1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statistik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deskriptif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mengetahui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gambaran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deskripsi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mengenai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karakteristik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meliputi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mean,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standar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deviasi,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maksimum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minimum.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analisis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statistik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deskriptif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disajikan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bawah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ini.</w:t>
      </w:r>
    </w:p>
    <w:p w:rsidR="00BB24A4" w:rsidRDefault="00BB24A4" w:rsidP="00BB24A4">
      <w:pPr>
        <w:spacing w:after="0" w:line="240" w:lineRule="auto"/>
        <w:contextualSpacing/>
        <w:jc w:val="center"/>
        <w:rPr>
          <w:rFonts w:ascii="Tahoma" w:hAnsi="Tahoma" w:cs="Tahoma"/>
          <w:b/>
          <w:lang w:val="id-ID"/>
        </w:rPr>
        <w:sectPr w:rsidR="00BB24A4" w:rsidSect="00BB24A4">
          <w:type w:val="continuous"/>
          <w:pgSz w:w="11906" w:h="16838" w:code="9"/>
          <w:pgMar w:top="1134" w:right="1134" w:bottom="1134" w:left="1134" w:header="709" w:footer="709" w:gutter="0"/>
          <w:cols w:num="2" w:space="282"/>
          <w:docGrid w:linePitch="360"/>
        </w:sectPr>
      </w:pPr>
    </w:p>
    <w:p w:rsidR="00473BF1" w:rsidRPr="00B33D0B" w:rsidRDefault="00473BF1" w:rsidP="00BB24A4">
      <w:pPr>
        <w:spacing w:after="0" w:line="240" w:lineRule="auto"/>
        <w:contextualSpacing/>
        <w:jc w:val="center"/>
        <w:rPr>
          <w:rFonts w:ascii="Tahoma" w:hAnsi="Tahoma" w:cs="Tahoma"/>
          <w:lang w:val="id-ID"/>
        </w:rPr>
      </w:pPr>
      <w:r w:rsidRPr="00B33D0B">
        <w:rPr>
          <w:rFonts w:ascii="Tahoma" w:hAnsi="Tahoma" w:cs="Tahoma"/>
          <w:lang w:val="id-ID"/>
        </w:rPr>
        <w:lastRenderedPageBreak/>
        <w:t>Tabel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="00711430" w:rsidRPr="00B33D0B">
        <w:rPr>
          <w:rFonts w:ascii="Tahoma" w:hAnsi="Tahoma" w:cs="Tahoma"/>
          <w:lang w:val="id-ID"/>
        </w:rPr>
        <w:t>2</w:t>
      </w:r>
    </w:p>
    <w:p w:rsidR="00473BF1" w:rsidRPr="00B33D0B" w:rsidRDefault="00473BF1" w:rsidP="00BB24A4">
      <w:pPr>
        <w:spacing w:after="0" w:line="240" w:lineRule="auto"/>
        <w:contextualSpacing/>
        <w:jc w:val="center"/>
        <w:rPr>
          <w:rFonts w:ascii="Tahoma" w:hAnsi="Tahoma" w:cs="Tahoma"/>
          <w:lang w:val="id-ID"/>
        </w:rPr>
      </w:pPr>
      <w:r w:rsidRPr="00B33D0B">
        <w:rPr>
          <w:rFonts w:ascii="Tahoma" w:hAnsi="Tahoma" w:cs="Tahoma"/>
          <w:lang w:val="id-ID"/>
        </w:rPr>
        <w:t>Hasil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Statistik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Deskriptif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(Setelah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mengeluarkan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i/>
          <w:lang w:val="id-ID"/>
        </w:rPr>
        <w:t>outlier</w:t>
      </w:r>
      <w:r w:rsidRPr="00B33D0B">
        <w:rPr>
          <w:rFonts w:ascii="Tahoma" w:hAnsi="Tahoma" w:cs="Tahoma"/>
          <w:lang w:val="id-ID"/>
        </w:rPr>
        <w:t>)</w:t>
      </w:r>
    </w:p>
    <w:tbl>
      <w:tblPr>
        <w:tblW w:w="80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121"/>
        <w:gridCol w:w="1174"/>
        <w:gridCol w:w="1206"/>
        <w:gridCol w:w="1121"/>
        <w:gridCol w:w="1574"/>
      </w:tblGrid>
      <w:tr w:rsidR="00473BF1" w:rsidRPr="00CE55B7" w:rsidTr="007224AB">
        <w:trPr>
          <w:cantSplit/>
          <w:trHeight w:val="116"/>
          <w:jc w:val="center"/>
        </w:trPr>
        <w:tc>
          <w:tcPr>
            <w:tcW w:w="805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b/>
                <w:bCs/>
                <w:color w:val="000000" w:themeColor="text1"/>
                <w:lang w:val="id-ID"/>
              </w:rPr>
              <w:t>Descriptive</w:t>
            </w:r>
            <w:r w:rsidR="00CE55B7">
              <w:rPr>
                <w:rFonts w:ascii="Tahoma" w:hAnsi="Tahoma" w:cs="Tahoma"/>
                <w:b/>
                <w:bCs/>
                <w:color w:val="000000" w:themeColor="text1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b/>
                <w:bCs/>
                <w:color w:val="000000" w:themeColor="text1"/>
                <w:lang w:val="id-ID"/>
              </w:rPr>
              <w:t>Statistics</w:t>
            </w:r>
          </w:p>
        </w:tc>
      </w:tr>
      <w:tr w:rsidR="00A81399" w:rsidRPr="00CE55B7" w:rsidTr="007224AB">
        <w:trPr>
          <w:cantSplit/>
          <w:trHeight w:val="116"/>
          <w:jc w:val="center"/>
        </w:trPr>
        <w:tc>
          <w:tcPr>
            <w:tcW w:w="1858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  <w:lang w:val="id-ID"/>
              </w:rPr>
            </w:pPr>
          </w:p>
        </w:tc>
        <w:tc>
          <w:tcPr>
            <w:tcW w:w="1121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N</w:t>
            </w:r>
          </w:p>
        </w:tc>
        <w:tc>
          <w:tcPr>
            <w:tcW w:w="1174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Minimum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Maximum</w:t>
            </w:r>
          </w:p>
        </w:tc>
        <w:tc>
          <w:tcPr>
            <w:tcW w:w="1121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Mean</w:t>
            </w:r>
          </w:p>
        </w:tc>
        <w:tc>
          <w:tcPr>
            <w:tcW w:w="1574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Std.</w:t>
            </w:r>
            <w:r w:rsidR="00CE55B7">
              <w:rPr>
                <w:rFonts w:ascii="Tahoma" w:hAnsi="Tahoma" w:cs="Tahoma"/>
                <w:color w:val="000000" w:themeColor="text1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Deviation</w:t>
            </w:r>
          </w:p>
        </w:tc>
      </w:tr>
      <w:tr w:rsidR="00A81399" w:rsidRPr="00CE55B7" w:rsidTr="007224AB">
        <w:trPr>
          <w:cantSplit/>
          <w:trHeight w:val="110"/>
          <w:jc w:val="center"/>
        </w:trPr>
        <w:tc>
          <w:tcPr>
            <w:tcW w:w="1858" w:type="dxa"/>
            <w:shd w:val="clear" w:color="auto" w:fill="FFFFFF" w:themeFill="background1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ROA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168</w:t>
            </w:r>
          </w:p>
        </w:tc>
        <w:tc>
          <w:tcPr>
            <w:tcW w:w="11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-,1335</w:t>
            </w:r>
          </w:p>
        </w:tc>
        <w:tc>
          <w:tcPr>
            <w:tcW w:w="1206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,0306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,008957</w:t>
            </w:r>
          </w:p>
        </w:tc>
        <w:tc>
          <w:tcPr>
            <w:tcW w:w="15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,0167852</w:t>
            </w:r>
          </w:p>
        </w:tc>
      </w:tr>
      <w:tr w:rsidR="00A81399" w:rsidRPr="00CE55B7" w:rsidTr="007224AB">
        <w:trPr>
          <w:cantSplit/>
          <w:trHeight w:val="123"/>
          <w:jc w:val="center"/>
        </w:trPr>
        <w:tc>
          <w:tcPr>
            <w:tcW w:w="1858" w:type="dxa"/>
            <w:shd w:val="clear" w:color="auto" w:fill="FFFFFF" w:themeFill="background1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NPL/NPF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168</w:t>
            </w:r>
          </w:p>
        </w:tc>
        <w:tc>
          <w:tcPr>
            <w:tcW w:w="11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,0000</w:t>
            </w:r>
          </w:p>
        </w:tc>
        <w:tc>
          <w:tcPr>
            <w:tcW w:w="1206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,1582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,024718</w:t>
            </w:r>
          </w:p>
        </w:tc>
        <w:tc>
          <w:tcPr>
            <w:tcW w:w="15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,0229974</w:t>
            </w:r>
          </w:p>
        </w:tc>
      </w:tr>
      <w:tr w:rsidR="00A81399" w:rsidRPr="00CE55B7" w:rsidTr="007224AB">
        <w:trPr>
          <w:cantSplit/>
          <w:trHeight w:val="123"/>
          <w:jc w:val="center"/>
        </w:trPr>
        <w:tc>
          <w:tcPr>
            <w:tcW w:w="1858" w:type="dxa"/>
            <w:shd w:val="clear" w:color="auto" w:fill="FFFFFF" w:themeFill="background1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LDR/FDR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168</w:t>
            </w:r>
          </w:p>
        </w:tc>
        <w:tc>
          <w:tcPr>
            <w:tcW w:w="11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,5926</w:t>
            </w:r>
          </w:p>
        </w:tc>
        <w:tc>
          <w:tcPr>
            <w:tcW w:w="1206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2,3205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,922090</w:t>
            </w:r>
          </w:p>
        </w:tc>
        <w:tc>
          <w:tcPr>
            <w:tcW w:w="15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,2055693</w:t>
            </w:r>
          </w:p>
        </w:tc>
      </w:tr>
      <w:tr w:rsidR="00A81399" w:rsidRPr="00CE55B7" w:rsidTr="007224AB">
        <w:trPr>
          <w:cantSplit/>
          <w:trHeight w:val="116"/>
          <w:jc w:val="center"/>
        </w:trPr>
        <w:tc>
          <w:tcPr>
            <w:tcW w:w="1858" w:type="dxa"/>
            <w:shd w:val="clear" w:color="auto" w:fill="FFFFFF" w:themeFill="background1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GCG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168</w:t>
            </w:r>
          </w:p>
        </w:tc>
        <w:tc>
          <w:tcPr>
            <w:tcW w:w="11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,2209</w:t>
            </w:r>
          </w:p>
        </w:tc>
        <w:tc>
          <w:tcPr>
            <w:tcW w:w="1206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,8837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,634898</w:t>
            </w:r>
          </w:p>
        </w:tc>
        <w:tc>
          <w:tcPr>
            <w:tcW w:w="15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,1358884</w:t>
            </w:r>
          </w:p>
        </w:tc>
      </w:tr>
      <w:tr w:rsidR="00A81399" w:rsidRPr="00CE55B7" w:rsidTr="007224AB">
        <w:trPr>
          <w:cantSplit/>
          <w:trHeight w:val="116"/>
          <w:jc w:val="center"/>
        </w:trPr>
        <w:tc>
          <w:tcPr>
            <w:tcW w:w="1858" w:type="dxa"/>
            <w:shd w:val="clear" w:color="auto" w:fill="FFFFFF" w:themeFill="background1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NIM/NOM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168</w:t>
            </w:r>
          </w:p>
        </w:tc>
        <w:tc>
          <w:tcPr>
            <w:tcW w:w="11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-,0463</w:t>
            </w:r>
          </w:p>
        </w:tc>
        <w:tc>
          <w:tcPr>
            <w:tcW w:w="1206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,1394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,042959</w:t>
            </w:r>
          </w:p>
        </w:tc>
        <w:tc>
          <w:tcPr>
            <w:tcW w:w="15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,0230970</w:t>
            </w:r>
          </w:p>
        </w:tc>
      </w:tr>
      <w:tr w:rsidR="00A81399" w:rsidRPr="00CE55B7" w:rsidTr="007224AB">
        <w:trPr>
          <w:cantSplit/>
          <w:trHeight w:val="116"/>
          <w:jc w:val="center"/>
        </w:trPr>
        <w:tc>
          <w:tcPr>
            <w:tcW w:w="1858" w:type="dxa"/>
            <w:shd w:val="clear" w:color="auto" w:fill="FFFFFF" w:themeFill="background1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BOPO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168</w:t>
            </w:r>
          </w:p>
        </w:tc>
        <w:tc>
          <w:tcPr>
            <w:tcW w:w="11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,5979</w:t>
            </w:r>
          </w:p>
        </w:tc>
        <w:tc>
          <w:tcPr>
            <w:tcW w:w="1206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2,3520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,903046</w:t>
            </w:r>
          </w:p>
        </w:tc>
        <w:tc>
          <w:tcPr>
            <w:tcW w:w="15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,1695337</w:t>
            </w:r>
          </w:p>
        </w:tc>
      </w:tr>
      <w:tr w:rsidR="00A81399" w:rsidRPr="00CE55B7" w:rsidTr="007224AB">
        <w:trPr>
          <w:cantSplit/>
          <w:trHeight w:val="123"/>
          <w:jc w:val="center"/>
        </w:trPr>
        <w:tc>
          <w:tcPr>
            <w:tcW w:w="1858" w:type="dxa"/>
            <w:shd w:val="clear" w:color="auto" w:fill="FFFFFF" w:themeFill="background1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CAR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168</w:t>
            </w:r>
          </w:p>
        </w:tc>
        <w:tc>
          <w:tcPr>
            <w:tcW w:w="11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,0548</w:t>
            </w:r>
          </w:p>
        </w:tc>
        <w:tc>
          <w:tcPr>
            <w:tcW w:w="1206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,4314</w:t>
            </w:r>
          </w:p>
        </w:tc>
        <w:tc>
          <w:tcPr>
            <w:tcW w:w="1121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,142848</w:t>
            </w:r>
          </w:p>
        </w:tc>
        <w:tc>
          <w:tcPr>
            <w:tcW w:w="1574" w:type="dxa"/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,0524852</w:t>
            </w:r>
          </w:p>
        </w:tc>
      </w:tr>
      <w:tr w:rsidR="00A81399" w:rsidRPr="00CE55B7" w:rsidTr="007224AB">
        <w:trPr>
          <w:cantSplit/>
          <w:trHeight w:val="123"/>
          <w:jc w:val="center"/>
        </w:trPr>
        <w:tc>
          <w:tcPr>
            <w:tcW w:w="185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Valid</w:t>
            </w:r>
            <w:r w:rsidR="00CE55B7">
              <w:rPr>
                <w:rFonts w:ascii="Tahoma" w:hAnsi="Tahoma" w:cs="Tahoma"/>
                <w:color w:val="000000" w:themeColor="text1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N</w:t>
            </w:r>
            <w:r w:rsidR="00CE55B7">
              <w:rPr>
                <w:rFonts w:ascii="Tahoma" w:hAnsi="Tahoma" w:cs="Tahoma"/>
                <w:color w:val="000000" w:themeColor="text1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(listwise)</w:t>
            </w: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168</w:t>
            </w:r>
          </w:p>
        </w:tc>
        <w:tc>
          <w:tcPr>
            <w:tcW w:w="117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  <w:lang w:val="id-ID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  <w:lang w:val="id-ID"/>
              </w:rPr>
            </w:pP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  <w:lang w:val="id-ID"/>
              </w:rPr>
            </w:pPr>
          </w:p>
        </w:tc>
        <w:tc>
          <w:tcPr>
            <w:tcW w:w="157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473BF1" w:rsidRPr="00CE55B7" w:rsidRDefault="00473BF1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  <w:lang w:val="id-ID"/>
              </w:rPr>
            </w:pPr>
          </w:p>
        </w:tc>
      </w:tr>
    </w:tbl>
    <w:p w:rsidR="00473BF1" w:rsidRPr="00CE55B7" w:rsidRDefault="00CE55B7" w:rsidP="00BB24A4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/>
          <w:lang w:val="id-ID"/>
        </w:rPr>
      </w:pPr>
      <w:r>
        <w:rPr>
          <w:rFonts w:ascii="Tahoma" w:hAnsi="Tahoma" w:cs="Tahoma"/>
          <w:i/>
          <w:lang w:val="id-ID"/>
        </w:rPr>
        <w:t xml:space="preserve"> </w:t>
      </w:r>
      <w:r w:rsidR="00473BF1" w:rsidRPr="00CE55B7">
        <w:rPr>
          <w:rFonts w:ascii="Tahoma" w:hAnsi="Tahoma" w:cs="Tahoma"/>
          <w:i/>
          <w:lang w:val="id-ID"/>
        </w:rPr>
        <w:t>Sumber</w:t>
      </w:r>
      <w:r>
        <w:rPr>
          <w:rFonts w:ascii="Tahoma" w:hAnsi="Tahoma" w:cs="Tahoma"/>
          <w:i/>
          <w:lang w:val="id-ID"/>
        </w:rPr>
        <w:t xml:space="preserve"> </w:t>
      </w:r>
      <w:r w:rsidR="00473BF1" w:rsidRPr="00CE55B7">
        <w:rPr>
          <w:rFonts w:ascii="Tahoma" w:hAnsi="Tahoma" w:cs="Tahoma"/>
          <w:i/>
          <w:lang w:val="id-ID"/>
        </w:rPr>
        <w:t>:</w:t>
      </w:r>
      <w:r>
        <w:rPr>
          <w:rFonts w:ascii="Tahoma" w:hAnsi="Tahoma" w:cs="Tahoma"/>
          <w:i/>
          <w:lang w:val="id-ID"/>
        </w:rPr>
        <w:t xml:space="preserve"> </w:t>
      </w:r>
      <w:r w:rsidR="00473BF1" w:rsidRPr="00CE55B7">
        <w:rPr>
          <w:rFonts w:ascii="Tahoma" w:hAnsi="Tahoma" w:cs="Tahoma"/>
          <w:i/>
          <w:lang w:val="id-ID"/>
        </w:rPr>
        <w:t>Hasil</w:t>
      </w:r>
      <w:r>
        <w:rPr>
          <w:rFonts w:ascii="Tahoma" w:hAnsi="Tahoma" w:cs="Tahoma"/>
          <w:i/>
          <w:lang w:val="id-ID"/>
        </w:rPr>
        <w:t xml:space="preserve"> </w:t>
      </w:r>
      <w:r w:rsidR="00473BF1" w:rsidRPr="00CE55B7">
        <w:rPr>
          <w:rFonts w:ascii="Tahoma" w:hAnsi="Tahoma" w:cs="Tahoma"/>
          <w:i/>
          <w:lang w:val="id-ID"/>
        </w:rPr>
        <w:t>Output</w:t>
      </w:r>
      <w:r>
        <w:rPr>
          <w:rFonts w:ascii="Tahoma" w:hAnsi="Tahoma" w:cs="Tahoma"/>
          <w:i/>
          <w:lang w:val="id-ID"/>
        </w:rPr>
        <w:t xml:space="preserve"> </w:t>
      </w:r>
      <w:r w:rsidR="00473BF1" w:rsidRPr="00CE55B7">
        <w:rPr>
          <w:rFonts w:ascii="Tahoma" w:hAnsi="Tahoma" w:cs="Tahoma"/>
          <w:i/>
          <w:lang w:val="id-ID"/>
        </w:rPr>
        <w:t>SPSS</w:t>
      </w:r>
      <w:r>
        <w:rPr>
          <w:rFonts w:ascii="Tahoma" w:hAnsi="Tahoma" w:cs="Tahoma"/>
          <w:i/>
          <w:lang w:val="id-ID"/>
        </w:rPr>
        <w:t xml:space="preserve"> </w:t>
      </w:r>
      <w:r w:rsidR="00473BF1" w:rsidRPr="00CE55B7">
        <w:rPr>
          <w:rFonts w:ascii="Tahoma" w:hAnsi="Tahoma" w:cs="Tahoma"/>
          <w:i/>
          <w:lang w:val="id-ID"/>
        </w:rPr>
        <w:t>(Data</w:t>
      </w:r>
      <w:r>
        <w:rPr>
          <w:rFonts w:ascii="Tahoma" w:hAnsi="Tahoma" w:cs="Tahoma"/>
          <w:i/>
          <w:lang w:val="id-ID"/>
        </w:rPr>
        <w:t xml:space="preserve"> </w:t>
      </w:r>
      <w:r w:rsidR="00473BF1" w:rsidRPr="00CE55B7">
        <w:rPr>
          <w:rFonts w:ascii="Tahoma" w:hAnsi="Tahoma" w:cs="Tahoma"/>
          <w:i/>
          <w:lang w:val="id-ID"/>
        </w:rPr>
        <w:t>Diolah</w:t>
      </w:r>
      <w:r>
        <w:rPr>
          <w:rFonts w:ascii="Tahoma" w:hAnsi="Tahoma" w:cs="Tahoma"/>
          <w:i/>
          <w:lang w:val="id-ID"/>
        </w:rPr>
        <w:t xml:space="preserve"> </w:t>
      </w:r>
      <w:r w:rsidR="00473BF1" w:rsidRPr="00CE55B7">
        <w:rPr>
          <w:rFonts w:ascii="Tahoma" w:hAnsi="Tahoma" w:cs="Tahoma"/>
          <w:i/>
          <w:lang w:val="id-ID"/>
        </w:rPr>
        <w:t>Peneliti,</w:t>
      </w:r>
      <w:r>
        <w:rPr>
          <w:rFonts w:ascii="Tahoma" w:hAnsi="Tahoma" w:cs="Tahoma"/>
          <w:i/>
          <w:lang w:val="id-ID"/>
        </w:rPr>
        <w:t xml:space="preserve"> </w:t>
      </w:r>
      <w:r w:rsidR="00473BF1" w:rsidRPr="00CE55B7">
        <w:rPr>
          <w:rFonts w:ascii="Tahoma" w:hAnsi="Tahoma" w:cs="Tahoma"/>
          <w:i/>
          <w:lang w:val="id-ID"/>
        </w:rPr>
        <w:t>2018)</w:t>
      </w:r>
    </w:p>
    <w:p w:rsidR="00F57562" w:rsidRPr="00CE55B7" w:rsidRDefault="00F57562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</w:p>
    <w:p w:rsidR="00BB24A4" w:rsidRDefault="00BB24A4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  <w:sectPr w:rsidR="00BB24A4" w:rsidSect="009E3B0A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73BF1" w:rsidRPr="00CE55B7" w:rsidRDefault="00473BF1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  <w:lang w:val="id-ID"/>
        </w:rPr>
        <w:lastRenderedPageBreak/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statistik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deskriptif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jumlah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berjumlah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168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observasi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setelah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mengeluarkan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outlier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sebanyak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32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observasi.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Outlier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kasus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memiliki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karakteristik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terlihat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sangat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berbeda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observasi-observasi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muncul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ekstrim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tunggal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kombinasi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(Ghozali,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2013:41).</w:t>
      </w:r>
    </w:p>
    <w:p w:rsidR="00A81399" w:rsidRPr="00CE55B7" w:rsidRDefault="00A81399" w:rsidP="00BB24A4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</w:rPr>
        <w:t>Hal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yang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paling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menarik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drai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data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atas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adalah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bahwa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besarnya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rasio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biaya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lastRenderedPageBreak/>
        <w:t>operasional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terhadap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pendapatan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operasional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adalah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sebesar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0.903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atau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sebesar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90</w:t>
      </w:r>
      <w:proofErr w:type="gramStart"/>
      <w:r w:rsidRPr="00CE55B7">
        <w:rPr>
          <w:rFonts w:ascii="Tahoma" w:hAnsi="Tahoma" w:cs="Tahoma"/>
        </w:rPr>
        <w:t>,3</w:t>
      </w:r>
      <w:proofErr w:type="gramEnd"/>
      <w:r w:rsidRPr="00CE55B7">
        <w:rPr>
          <w:rFonts w:ascii="Tahoma" w:hAnsi="Tahoma" w:cs="Tahoma"/>
        </w:rPr>
        <w:t>%.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</w:rPr>
        <w:t>Hal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ini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mengindikasikan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bahwa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perbankan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Indonesia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pendapatan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operasional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</w:t>
      </w:r>
      <w:r w:rsidR="00A42586" w:rsidRPr="00CE55B7">
        <w:rPr>
          <w:rFonts w:ascii="Tahoma" w:hAnsi="Tahoma" w:cs="Tahoma"/>
        </w:rPr>
        <w:t>aling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besar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digunakan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untuk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membiayai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biaya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operasional</w:t>
      </w:r>
      <w:r w:rsidR="00A42586" w:rsidRPr="00CE55B7">
        <w:rPr>
          <w:rFonts w:ascii="Tahoma" w:hAnsi="Tahoma" w:cs="Tahoma"/>
        </w:rPr>
        <w:t>.</w:t>
      </w:r>
      <w:proofErr w:type="gramEnd"/>
      <w:r w:rsidR="00CE55B7">
        <w:rPr>
          <w:rFonts w:ascii="Tahoma" w:hAnsi="Tahoma" w:cs="Tahoma"/>
        </w:rPr>
        <w:t xml:space="preserve"> </w:t>
      </w:r>
      <w:proofErr w:type="gramStart"/>
      <w:r w:rsidR="00A42586" w:rsidRPr="00CE55B7">
        <w:rPr>
          <w:rFonts w:ascii="Tahoma" w:hAnsi="Tahoma" w:cs="Tahoma"/>
        </w:rPr>
        <w:t>Besarnya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BOPO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yang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tinggi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menunjukkan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bahwa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perbankan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di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Indonesia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belum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efisien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dalam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mengelola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kegiatan</w:t>
      </w:r>
      <w:r w:rsidR="00CE55B7">
        <w:rPr>
          <w:rFonts w:ascii="Tahoma" w:hAnsi="Tahoma" w:cs="Tahoma"/>
        </w:rPr>
        <w:t xml:space="preserve"> </w:t>
      </w:r>
      <w:r w:rsidR="00A42586" w:rsidRPr="00CE55B7">
        <w:rPr>
          <w:rFonts w:ascii="Tahoma" w:hAnsi="Tahoma" w:cs="Tahoma"/>
        </w:rPr>
        <w:t>opersaionalnya.</w:t>
      </w:r>
      <w:proofErr w:type="gramEnd"/>
    </w:p>
    <w:p w:rsidR="00BB24A4" w:rsidRDefault="00BB24A4" w:rsidP="00BB24A4">
      <w:pPr>
        <w:spacing w:after="0" w:line="240" w:lineRule="auto"/>
        <w:contextualSpacing/>
        <w:rPr>
          <w:rFonts w:ascii="Tahoma" w:hAnsi="Tahoma" w:cs="Tahoma"/>
          <w:b/>
        </w:rPr>
      </w:pPr>
    </w:p>
    <w:p w:rsidR="001070D0" w:rsidRPr="00CE55B7" w:rsidRDefault="001070D0" w:rsidP="00BB24A4">
      <w:pPr>
        <w:spacing w:after="0" w:line="240" w:lineRule="auto"/>
        <w:contextualSpacing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b/>
          <w:lang w:val="id-ID"/>
        </w:rPr>
        <w:t>Uji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Asumsi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Klasik</w:t>
      </w:r>
    </w:p>
    <w:p w:rsidR="00A42586" w:rsidRPr="00CE55B7" w:rsidRDefault="00A42586" w:rsidP="00FB177A">
      <w:pPr>
        <w:spacing w:after="0" w:line="240" w:lineRule="auto"/>
        <w:ind w:firstLine="720"/>
        <w:contextualSpacing/>
        <w:jc w:val="both"/>
        <w:rPr>
          <w:rFonts w:ascii="Tahoma" w:hAnsi="Tahoma" w:cs="Tahoma"/>
        </w:rPr>
      </w:pPr>
      <w:r w:rsidRPr="00CE55B7">
        <w:rPr>
          <w:rFonts w:ascii="Tahoma" w:hAnsi="Tahoma" w:cs="Tahoma"/>
        </w:rPr>
        <w:t>Dari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hasil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analisis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data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uji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asumsi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klasik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nomalitas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data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</w:rPr>
        <w:t>(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lihat</w:t>
      </w:r>
      <w:proofErr w:type="gramEnd"/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lampiran</w:t>
      </w:r>
      <w:r w:rsidR="00CE55B7">
        <w:rPr>
          <w:rFonts w:ascii="Tahoma" w:hAnsi="Tahoma" w:cs="Tahoma"/>
        </w:rPr>
        <w:t xml:space="preserve"> </w:t>
      </w:r>
      <w:r w:rsidR="00940AAD" w:rsidRPr="00CE55B7">
        <w:rPr>
          <w:rFonts w:ascii="Tahoma" w:hAnsi="Tahoma" w:cs="Tahoma"/>
        </w:rPr>
        <w:t>1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)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semua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lastRenderedPageBreak/>
        <w:t>data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memenuhi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kriteria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pengujian,sehingg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adapat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dilakukan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analisis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lebih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lanjut.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</w:rPr>
        <w:t>Hasil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dari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lastRenderedPageBreak/>
        <w:t>asumsi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klasik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normalitas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data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terlihat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table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tabe</w:t>
      </w:r>
      <w:r w:rsidR="00BB24A4">
        <w:rPr>
          <w:rFonts w:ascii="Tahoma" w:hAnsi="Tahoma" w:cs="Tahoma"/>
        </w:rPr>
        <w:t>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3.</w:t>
      </w:r>
      <w:proofErr w:type="gramEnd"/>
    </w:p>
    <w:p w:rsidR="00BB24A4" w:rsidRDefault="00BB24A4" w:rsidP="00BB24A4">
      <w:pPr>
        <w:spacing w:after="0" w:line="240" w:lineRule="auto"/>
        <w:contextualSpacing/>
        <w:jc w:val="center"/>
        <w:rPr>
          <w:rFonts w:ascii="Tahoma" w:hAnsi="Tahoma" w:cs="Tahoma"/>
          <w:b/>
          <w:lang w:val="id-ID"/>
        </w:rPr>
        <w:sectPr w:rsidR="00BB24A4" w:rsidSect="00BB24A4">
          <w:type w:val="continuous"/>
          <w:pgSz w:w="11906" w:h="16838" w:code="9"/>
          <w:pgMar w:top="1134" w:right="1134" w:bottom="1134" w:left="1134" w:header="709" w:footer="709" w:gutter="0"/>
          <w:cols w:num="2" w:space="282"/>
          <w:docGrid w:linePitch="360"/>
        </w:sectPr>
      </w:pPr>
    </w:p>
    <w:p w:rsidR="00EC4458" w:rsidRDefault="00EC4458" w:rsidP="00BB24A4">
      <w:pPr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:rsidR="00F83928" w:rsidRPr="00B33D0B" w:rsidRDefault="00F83928" w:rsidP="00BB24A4">
      <w:pPr>
        <w:spacing w:after="0" w:line="240" w:lineRule="auto"/>
        <w:contextualSpacing/>
        <w:jc w:val="center"/>
        <w:rPr>
          <w:rFonts w:ascii="Tahoma" w:hAnsi="Tahoma" w:cs="Tahoma"/>
          <w:lang w:val="id-ID"/>
        </w:rPr>
      </w:pPr>
      <w:r w:rsidRPr="00B33D0B">
        <w:rPr>
          <w:rFonts w:ascii="Tahoma" w:hAnsi="Tahoma" w:cs="Tahoma"/>
          <w:lang w:val="id-ID"/>
        </w:rPr>
        <w:t>Tabel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="00711430" w:rsidRPr="00B33D0B">
        <w:rPr>
          <w:rFonts w:ascii="Tahoma" w:hAnsi="Tahoma" w:cs="Tahoma"/>
          <w:lang w:val="id-ID"/>
        </w:rPr>
        <w:t>3</w:t>
      </w:r>
    </w:p>
    <w:p w:rsidR="00F83928" w:rsidRPr="00B33D0B" w:rsidRDefault="00F83928" w:rsidP="00BB24A4">
      <w:pPr>
        <w:spacing w:after="0" w:line="240" w:lineRule="auto"/>
        <w:contextualSpacing/>
        <w:jc w:val="center"/>
        <w:rPr>
          <w:rFonts w:ascii="Tahoma" w:hAnsi="Tahoma" w:cs="Tahoma"/>
          <w:lang w:val="id-ID"/>
        </w:rPr>
      </w:pPr>
      <w:r w:rsidRPr="00B33D0B">
        <w:rPr>
          <w:rFonts w:ascii="Tahoma" w:hAnsi="Tahoma" w:cs="Tahoma"/>
          <w:lang w:val="id-ID"/>
        </w:rPr>
        <w:t>Hasil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Uji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Asumsi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Klasik</w:t>
      </w:r>
    </w:p>
    <w:tbl>
      <w:tblPr>
        <w:tblStyle w:val="LightShading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0"/>
        <w:gridCol w:w="1523"/>
      </w:tblGrid>
      <w:tr w:rsidR="001070D0" w:rsidRPr="00CE55B7" w:rsidTr="00722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070D0" w:rsidRPr="00CE55B7" w:rsidRDefault="001070D0" w:rsidP="00BB24A4">
            <w:pPr>
              <w:contextualSpacing/>
              <w:jc w:val="center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Uji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Asumsi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Klasik</w:t>
            </w:r>
          </w:p>
        </w:tc>
        <w:tc>
          <w:tcPr>
            <w:tcW w:w="0" w:type="auto"/>
            <w:shd w:val="clear" w:color="auto" w:fill="FFFFFF" w:themeFill="background1"/>
          </w:tcPr>
          <w:p w:rsidR="001070D0" w:rsidRPr="00CE55B7" w:rsidRDefault="001070D0" w:rsidP="00BB24A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Hasil</w:t>
            </w:r>
          </w:p>
        </w:tc>
      </w:tr>
      <w:tr w:rsidR="001070D0" w:rsidRPr="00CE55B7" w:rsidTr="00722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070D0" w:rsidRPr="00CE55B7" w:rsidRDefault="001070D0" w:rsidP="00BB24A4">
            <w:pPr>
              <w:contextualSpacing/>
              <w:rPr>
                <w:rFonts w:ascii="Tahoma" w:hAnsi="Tahoma" w:cs="Tahoma"/>
                <w:b w:val="0"/>
                <w:lang w:val="id-ID"/>
              </w:rPr>
            </w:pPr>
            <w:r w:rsidRPr="00CE55B7">
              <w:rPr>
                <w:rFonts w:ascii="Tahoma" w:hAnsi="Tahoma" w:cs="Tahoma"/>
                <w:b w:val="0"/>
                <w:lang w:val="id-ID"/>
              </w:rPr>
              <w:t>Uji</w:t>
            </w:r>
            <w:r w:rsidR="00CE55B7">
              <w:rPr>
                <w:rFonts w:ascii="Tahoma" w:hAnsi="Tahoma" w:cs="Tahoma"/>
                <w:b w:val="0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b w:val="0"/>
                <w:lang w:val="id-ID"/>
              </w:rPr>
              <w:t>Normalitas</w:t>
            </w:r>
            <w:r w:rsidR="00CE55B7">
              <w:rPr>
                <w:rFonts w:ascii="Tahoma" w:hAnsi="Tahoma" w:cs="Tahoma"/>
                <w:b w:val="0"/>
                <w:lang w:val="id-ID"/>
              </w:rPr>
              <w:t xml:space="preserve"> </w:t>
            </w:r>
            <w:r w:rsidR="001F0891" w:rsidRPr="00CE55B7">
              <w:rPr>
                <w:rFonts w:ascii="Tahoma" w:hAnsi="Tahoma" w:cs="Tahoma"/>
                <w:b w:val="0"/>
                <w:lang w:val="id-ID"/>
              </w:rPr>
              <w:t>(Asymp</w:t>
            </w:r>
            <w:r w:rsidR="00CE55B7">
              <w:rPr>
                <w:rFonts w:ascii="Tahoma" w:hAnsi="Tahoma" w:cs="Tahoma"/>
                <w:b w:val="0"/>
                <w:lang w:val="id-ID"/>
              </w:rPr>
              <w:t xml:space="preserve"> </w:t>
            </w:r>
            <w:r w:rsidR="001F0891" w:rsidRPr="00CE55B7">
              <w:rPr>
                <w:rFonts w:ascii="Tahoma" w:hAnsi="Tahoma" w:cs="Tahoma"/>
                <w:b w:val="0"/>
                <w:lang w:val="id-ID"/>
              </w:rPr>
              <w:t>Sig</w:t>
            </w:r>
            <w:r w:rsidR="00CE55B7">
              <w:rPr>
                <w:rFonts w:ascii="Tahoma" w:hAnsi="Tahoma" w:cs="Tahoma"/>
                <w:b w:val="0"/>
                <w:lang w:val="id-ID"/>
              </w:rPr>
              <w:t xml:space="preserve"> </w:t>
            </w:r>
            <w:r w:rsidR="001F0891" w:rsidRPr="00CE55B7">
              <w:rPr>
                <w:rFonts w:ascii="Tahoma" w:hAnsi="Tahoma" w:cs="Tahoma"/>
                <w:b w:val="0"/>
                <w:lang w:val="id-ID"/>
              </w:rPr>
              <w:t>Kolmog-Smir)</w:t>
            </w:r>
          </w:p>
        </w:tc>
        <w:tc>
          <w:tcPr>
            <w:tcW w:w="0" w:type="auto"/>
            <w:shd w:val="clear" w:color="auto" w:fill="FFFFFF" w:themeFill="background1"/>
          </w:tcPr>
          <w:p w:rsidR="001070D0" w:rsidRPr="00CE55B7" w:rsidRDefault="001F0891" w:rsidP="00BB24A4">
            <w:pPr>
              <w:pStyle w:val="List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&gt;0,05</w:t>
            </w:r>
          </w:p>
        </w:tc>
      </w:tr>
      <w:tr w:rsidR="001070D0" w:rsidRPr="00CE55B7" w:rsidTr="007224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070D0" w:rsidRPr="00CE55B7" w:rsidRDefault="001070D0" w:rsidP="00BB24A4">
            <w:pPr>
              <w:contextualSpacing/>
              <w:rPr>
                <w:rFonts w:ascii="Tahoma" w:hAnsi="Tahoma" w:cs="Tahoma"/>
                <w:b w:val="0"/>
                <w:lang w:val="id-ID"/>
              </w:rPr>
            </w:pPr>
            <w:r w:rsidRPr="00CE55B7">
              <w:rPr>
                <w:rFonts w:ascii="Tahoma" w:hAnsi="Tahoma" w:cs="Tahoma"/>
                <w:b w:val="0"/>
                <w:lang w:val="id-ID"/>
              </w:rPr>
              <w:t>Uji</w:t>
            </w:r>
            <w:r w:rsidR="00CE55B7">
              <w:rPr>
                <w:rFonts w:ascii="Tahoma" w:hAnsi="Tahoma" w:cs="Tahoma"/>
                <w:b w:val="0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b w:val="0"/>
                <w:lang w:val="id-ID"/>
              </w:rPr>
              <w:t>Multikolinearitas</w:t>
            </w:r>
            <w:r w:rsidR="00CE55B7">
              <w:rPr>
                <w:rFonts w:ascii="Tahoma" w:hAnsi="Tahoma" w:cs="Tahoma"/>
                <w:b w:val="0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b w:val="0"/>
                <w:lang w:val="id-ID"/>
              </w:rPr>
              <w:t>(Nilai</w:t>
            </w:r>
            <w:r w:rsidR="00CE55B7">
              <w:rPr>
                <w:rFonts w:ascii="Tahoma" w:hAnsi="Tahoma" w:cs="Tahoma"/>
                <w:b w:val="0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b w:val="0"/>
                <w:i/>
                <w:lang w:val="id-ID"/>
              </w:rPr>
              <w:t>Tolerance</w:t>
            </w:r>
            <w:r w:rsidR="00CE55B7">
              <w:rPr>
                <w:rFonts w:ascii="Tahoma" w:hAnsi="Tahoma" w:cs="Tahoma"/>
                <w:b w:val="0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b w:val="0"/>
                <w:lang w:val="id-ID"/>
              </w:rPr>
              <w:t>&amp;</w:t>
            </w:r>
            <w:r w:rsidR="00CE55B7">
              <w:rPr>
                <w:rFonts w:ascii="Tahoma" w:hAnsi="Tahoma" w:cs="Tahoma"/>
                <w:b w:val="0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b w:val="0"/>
                <w:lang w:val="id-ID"/>
              </w:rPr>
              <w:t>VIF)</w:t>
            </w:r>
          </w:p>
        </w:tc>
        <w:tc>
          <w:tcPr>
            <w:tcW w:w="0" w:type="auto"/>
            <w:shd w:val="clear" w:color="auto" w:fill="FFFFFF" w:themeFill="background1"/>
          </w:tcPr>
          <w:p w:rsidR="001070D0" w:rsidRPr="00CE55B7" w:rsidRDefault="001F0891" w:rsidP="00BB24A4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&gt;0,2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&amp;</w:t>
            </w:r>
            <w:r w:rsidR="00CE55B7">
              <w:rPr>
                <w:rFonts w:ascii="Tahoma" w:hAnsi="Tahoma" w:cs="Tahoma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lang w:val="id-ID"/>
              </w:rPr>
              <w:t>&lt;5</w:t>
            </w:r>
          </w:p>
        </w:tc>
      </w:tr>
      <w:tr w:rsidR="001070D0" w:rsidRPr="00CE55B7" w:rsidTr="00722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070D0" w:rsidRPr="00CE55B7" w:rsidRDefault="001F0891" w:rsidP="00BB24A4">
            <w:pPr>
              <w:contextualSpacing/>
              <w:rPr>
                <w:rFonts w:ascii="Tahoma" w:hAnsi="Tahoma" w:cs="Tahoma"/>
                <w:b w:val="0"/>
                <w:lang w:val="id-ID"/>
              </w:rPr>
            </w:pPr>
            <w:r w:rsidRPr="00CE55B7">
              <w:rPr>
                <w:rFonts w:ascii="Tahoma" w:hAnsi="Tahoma" w:cs="Tahoma"/>
                <w:b w:val="0"/>
                <w:lang w:val="id-ID"/>
              </w:rPr>
              <w:t>Uji</w:t>
            </w:r>
            <w:r w:rsidR="00CE55B7">
              <w:rPr>
                <w:rFonts w:ascii="Tahoma" w:hAnsi="Tahoma" w:cs="Tahoma"/>
                <w:b w:val="0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b w:val="0"/>
                <w:lang w:val="id-ID"/>
              </w:rPr>
              <w:t>Autokorelasi</w:t>
            </w:r>
            <w:r w:rsidR="00CE55B7">
              <w:rPr>
                <w:rFonts w:ascii="Tahoma" w:hAnsi="Tahoma" w:cs="Tahoma"/>
                <w:b w:val="0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b w:val="0"/>
                <w:lang w:val="id-ID"/>
              </w:rPr>
              <w:t>(DW)</w:t>
            </w:r>
          </w:p>
        </w:tc>
        <w:tc>
          <w:tcPr>
            <w:tcW w:w="0" w:type="auto"/>
            <w:shd w:val="clear" w:color="auto" w:fill="FFFFFF" w:themeFill="background1"/>
          </w:tcPr>
          <w:p w:rsidR="001070D0" w:rsidRPr="00CE55B7" w:rsidRDefault="001F0891" w:rsidP="00BB24A4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1,751</w:t>
            </w:r>
          </w:p>
        </w:tc>
      </w:tr>
      <w:tr w:rsidR="001070D0" w:rsidRPr="00CE55B7" w:rsidTr="007224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070D0" w:rsidRPr="00CE55B7" w:rsidRDefault="001F0891" w:rsidP="00BB24A4">
            <w:pPr>
              <w:contextualSpacing/>
              <w:rPr>
                <w:rFonts w:ascii="Tahoma" w:hAnsi="Tahoma" w:cs="Tahoma"/>
                <w:b w:val="0"/>
                <w:lang w:val="id-ID"/>
              </w:rPr>
            </w:pPr>
            <w:r w:rsidRPr="00CE55B7">
              <w:rPr>
                <w:rFonts w:ascii="Tahoma" w:hAnsi="Tahoma" w:cs="Tahoma"/>
                <w:b w:val="0"/>
                <w:lang w:val="id-ID"/>
              </w:rPr>
              <w:t>Uji</w:t>
            </w:r>
            <w:r w:rsidR="00CE55B7">
              <w:rPr>
                <w:rFonts w:ascii="Tahoma" w:hAnsi="Tahoma" w:cs="Tahoma"/>
                <w:b w:val="0"/>
                <w:lang w:val="id-ID"/>
              </w:rPr>
              <w:t xml:space="preserve"> </w:t>
            </w:r>
            <w:r w:rsidRPr="00CE55B7">
              <w:rPr>
                <w:rFonts w:ascii="Tahoma" w:hAnsi="Tahoma" w:cs="Tahoma"/>
                <w:b w:val="0"/>
                <w:lang w:val="id-ID"/>
              </w:rPr>
              <w:t>Heteroskedastisitas</w:t>
            </w:r>
            <w:r w:rsidR="00CE55B7">
              <w:rPr>
                <w:rFonts w:ascii="Tahoma" w:hAnsi="Tahoma" w:cs="Tahoma"/>
                <w:b w:val="0"/>
                <w:lang w:val="id-ID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1070D0" w:rsidRPr="00CE55B7" w:rsidRDefault="001F0891" w:rsidP="00BB24A4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id-ID"/>
              </w:rPr>
            </w:pPr>
            <w:r w:rsidRPr="00CE55B7">
              <w:rPr>
                <w:rFonts w:ascii="Tahoma" w:hAnsi="Tahoma" w:cs="Tahoma"/>
                <w:lang w:val="id-ID"/>
              </w:rPr>
              <w:t>Menyebar</w:t>
            </w:r>
          </w:p>
        </w:tc>
      </w:tr>
    </w:tbl>
    <w:p w:rsidR="001070D0" w:rsidRPr="00CE55B7" w:rsidRDefault="00041084" w:rsidP="00EC4458">
      <w:pPr>
        <w:spacing w:after="0" w:line="240" w:lineRule="auto"/>
        <w:ind w:left="1843"/>
        <w:contextualSpacing/>
        <w:rPr>
          <w:rFonts w:ascii="Tahoma" w:hAnsi="Tahoma" w:cs="Tahoma"/>
          <w:i/>
          <w:lang w:val="id-ID"/>
        </w:rPr>
      </w:pPr>
      <w:r w:rsidRPr="00CE55B7">
        <w:rPr>
          <w:rFonts w:ascii="Tahoma" w:hAnsi="Tahoma" w:cs="Tahoma"/>
          <w:i/>
          <w:lang w:val="id-ID"/>
        </w:rPr>
        <w:t>Sumber</w:t>
      </w:r>
      <w:r w:rsidR="00CE55B7">
        <w:rPr>
          <w:rFonts w:ascii="Tahoma" w:hAnsi="Tahoma" w:cs="Tahoma"/>
          <w:i/>
          <w:lang w:val="id-ID"/>
        </w:rPr>
        <w:t xml:space="preserve"> </w:t>
      </w:r>
      <w:r w:rsidR="00F83928" w:rsidRPr="00CE55B7">
        <w:rPr>
          <w:rFonts w:ascii="Tahoma" w:hAnsi="Tahoma" w:cs="Tahoma"/>
          <w:i/>
          <w:lang w:val="id-ID"/>
        </w:rPr>
        <w:t>:</w:t>
      </w:r>
      <w:r w:rsidR="00CE55B7">
        <w:rPr>
          <w:rFonts w:ascii="Tahoma" w:hAnsi="Tahoma" w:cs="Tahoma"/>
          <w:i/>
          <w:lang w:val="id-ID"/>
        </w:rPr>
        <w:t xml:space="preserve"> </w:t>
      </w:r>
      <w:r w:rsidR="00F83928" w:rsidRPr="00CE55B7">
        <w:rPr>
          <w:rFonts w:ascii="Tahoma" w:hAnsi="Tahoma" w:cs="Tahoma"/>
          <w:i/>
          <w:lang w:val="id-ID"/>
        </w:rPr>
        <w:t>Data</w:t>
      </w:r>
      <w:r w:rsidR="00CE55B7">
        <w:rPr>
          <w:rFonts w:ascii="Tahoma" w:hAnsi="Tahoma" w:cs="Tahoma"/>
          <w:i/>
          <w:lang w:val="id-ID"/>
        </w:rPr>
        <w:t xml:space="preserve"> </w:t>
      </w:r>
      <w:r w:rsidR="00F83928" w:rsidRPr="00CE55B7">
        <w:rPr>
          <w:rFonts w:ascii="Tahoma" w:hAnsi="Tahoma" w:cs="Tahoma"/>
          <w:i/>
          <w:lang w:val="id-ID"/>
        </w:rPr>
        <w:t>Diolah</w:t>
      </w:r>
      <w:r w:rsidR="00CE55B7">
        <w:rPr>
          <w:rFonts w:ascii="Tahoma" w:hAnsi="Tahoma" w:cs="Tahoma"/>
          <w:i/>
          <w:lang w:val="id-ID"/>
        </w:rPr>
        <w:t xml:space="preserve"> </w:t>
      </w:r>
      <w:r w:rsidR="00F83928" w:rsidRPr="00CE55B7">
        <w:rPr>
          <w:rFonts w:ascii="Tahoma" w:hAnsi="Tahoma" w:cs="Tahoma"/>
          <w:i/>
          <w:lang w:val="id-ID"/>
        </w:rPr>
        <w:t>Peneliti</w:t>
      </w:r>
      <w:r w:rsidR="00CE55B7">
        <w:rPr>
          <w:rFonts w:ascii="Tahoma" w:hAnsi="Tahoma" w:cs="Tahoma"/>
          <w:i/>
          <w:lang w:val="id-ID"/>
        </w:rPr>
        <w:t xml:space="preserve"> </w:t>
      </w:r>
      <w:r w:rsidR="00F83928" w:rsidRPr="00CE55B7">
        <w:rPr>
          <w:rFonts w:ascii="Tahoma" w:hAnsi="Tahoma" w:cs="Tahoma"/>
          <w:i/>
          <w:lang w:val="id-ID"/>
        </w:rPr>
        <w:t>(2018)</w:t>
      </w:r>
    </w:p>
    <w:p w:rsidR="00BB24A4" w:rsidRDefault="00BB24A4" w:rsidP="00BB24A4">
      <w:pPr>
        <w:spacing w:after="0" w:line="240" w:lineRule="auto"/>
        <w:contextualSpacing/>
        <w:rPr>
          <w:rFonts w:ascii="Tahoma" w:hAnsi="Tahoma" w:cs="Tahoma"/>
          <w:b/>
        </w:rPr>
      </w:pPr>
    </w:p>
    <w:p w:rsidR="00F83928" w:rsidRPr="00CE55B7" w:rsidRDefault="00F83928" w:rsidP="00BB24A4">
      <w:pPr>
        <w:spacing w:after="0" w:line="240" w:lineRule="auto"/>
        <w:contextualSpacing/>
        <w:rPr>
          <w:rFonts w:ascii="Tahoma" w:hAnsi="Tahoma" w:cs="Tahoma"/>
          <w:b/>
        </w:rPr>
      </w:pPr>
      <w:r w:rsidRPr="00CE55B7">
        <w:rPr>
          <w:rFonts w:ascii="Tahoma" w:hAnsi="Tahoma" w:cs="Tahoma"/>
          <w:b/>
          <w:lang w:val="id-ID"/>
        </w:rPr>
        <w:t>Analisis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Regresi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Linear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Berganda</w:t>
      </w:r>
    </w:p>
    <w:p w:rsidR="00F83928" w:rsidRPr="00B33D0B" w:rsidRDefault="00711430" w:rsidP="00BB24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lang w:val="id-ID"/>
        </w:rPr>
      </w:pPr>
      <w:r w:rsidRPr="00B33D0B">
        <w:rPr>
          <w:rFonts w:ascii="Tahoma" w:hAnsi="Tahoma" w:cs="Tahoma"/>
          <w:lang w:val="id-ID"/>
        </w:rPr>
        <w:t>Tabel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4</w:t>
      </w:r>
    </w:p>
    <w:p w:rsidR="00F83928" w:rsidRPr="00B33D0B" w:rsidRDefault="00F83928" w:rsidP="00BB24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lang w:val="id-ID"/>
        </w:rPr>
      </w:pPr>
      <w:r w:rsidRPr="00B33D0B">
        <w:rPr>
          <w:rFonts w:ascii="Tahoma" w:hAnsi="Tahoma" w:cs="Tahoma"/>
          <w:lang w:val="id-ID"/>
        </w:rPr>
        <w:t>Hasil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Uji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Regresi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Linear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Berganda</w:t>
      </w:r>
    </w:p>
    <w:tbl>
      <w:tblPr>
        <w:tblW w:w="9411" w:type="dxa"/>
        <w:jc w:val="center"/>
        <w:tblBorders>
          <w:top w:val="single" w:sz="8" w:space="0" w:color="auto"/>
          <w:bottom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1192"/>
        <w:gridCol w:w="1018"/>
        <w:gridCol w:w="1298"/>
        <w:gridCol w:w="1460"/>
        <w:gridCol w:w="972"/>
        <w:gridCol w:w="811"/>
        <w:gridCol w:w="1136"/>
        <w:gridCol w:w="812"/>
      </w:tblGrid>
      <w:tr w:rsidR="00F83928" w:rsidRPr="00CE55B7" w:rsidTr="008E589B">
        <w:trPr>
          <w:cantSplit/>
          <w:trHeight w:val="77"/>
          <w:jc w:val="center"/>
        </w:trPr>
        <w:tc>
          <w:tcPr>
            <w:tcW w:w="9411" w:type="dxa"/>
            <w:gridSpan w:val="9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b/>
                <w:bCs/>
                <w:color w:val="000000" w:themeColor="text1"/>
              </w:rPr>
              <w:t>Coefficients</w:t>
            </w:r>
            <w:r w:rsidRPr="00CE55B7">
              <w:rPr>
                <w:rFonts w:ascii="Tahoma" w:hAnsi="Tahoma" w:cs="Tahoma"/>
                <w:b/>
                <w:bCs/>
                <w:color w:val="000000" w:themeColor="text1"/>
                <w:vertAlign w:val="superscript"/>
              </w:rPr>
              <w:t>a</w:t>
            </w:r>
          </w:p>
        </w:tc>
      </w:tr>
      <w:tr w:rsidR="00F83928" w:rsidRPr="00CE55B7" w:rsidTr="008E589B">
        <w:trPr>
          <w:cantSplit/>
          <w:trHeight w:val="157"/>
          <w:jc w:val="center"/>
        </w:trPr>
        <w:tc>
          <w:tcPr>
            <w:tcW w:w="1904" w:type="dxa"/>
            <w:gridSpan w:val="2"/>
            <w:vMerge w:val="restart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Model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Unstandardized</w:t>
            </w:r>
            <w:r w:rsidR="00CE55B7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E55B7">
              <w:rPr>
                <w:rFonts w:ascii="Tahoma" w:hAnsi="Tahoma" w:cs="Tahoma"/>
                <w:color w:val="000000" w:themeColor="text1"/>
              </w:rPr>
              <w:t>Coefficients</w:t>
            </w:r>
          </w:p>
        </w:tc>
        <w:tc>
          <w:tcPr>
            <w:tcW w:w="1460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Standardized</w:t>
            </w:r>
            <w:r w:rsidR="00CE55B7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E55B7">
              <w:rPr>
                <w:rFonts w:ascii="Tahoma" w:hAnsi="Tahoma" w:cs="Tahoma"/>
                <w:color w:val="000000" w:themeColor="text1"/>
              </w:rPr>
              <w:t>Coefficients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  <w:lang w:val="id-ID"/>
              </w:rPr>
            </w:pPr>
            <w:r w:rsidRPr="00CE55B7">
              <w:rPr>
                <w:rFonts w:ascii="Tahoma" w:hAnsi="Tahoma" w:cs="Tahoma"/>
                <w:color w:val="000000" w:themeColor="text1"/>
                <w:lang w:val="id-ID"/>
              </w:rPr>
              <w:t>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Sig.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Collinearity</w:t>
            </w:r>
            <w:r w:rsidR="00CE55B7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E55B7">
              <w:rPr>
                <w:rFonts w:ascii="Tahoma" w:hAnsi="Tahoma" w:cs="Tahoma"/>
                <w:color w:val="000000" w:themeColor="text1"/>
              </w:rPr>
              <w:t>Statistics</w:t>
            </w:r>
          </w:p>
        </w:tc>
      </w:tr>
      <w:tr w:rsidR="00F83928" w:rsidRPr="00CE55B7" w:rsidTr="008E589B">
        <w:trPr>
          <w:cantSplit/>
          <w:trHeight w:val="35"/>
          <w:jc w:val="center"/>
        </w:trPr>
        <w:tc>
          <w:tcPr>
            <w:tcW w:w="1904" w:type="dxa"/>
            <w:gridSpan w:val="2"/>
            <w:vMerge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018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B</w:t>
            </w:r>
          </w:p>
        </w:tc>
        <w:tc>
          <w:tcPr>
            <w:tcW w:w="1298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Std.</w:t>
            </w:r>
            <w:r w:rsidR="00CE55B7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E55B7">
              <w:rPr>
                <w:rFonts w:ascii="Tahoma" w:hAnsi="Tahoma" w:cs="Tahoma"/>
                <w:color w:val="000000" w:themeColor="text1"/>
              </w:rPr>
              <w:t>Error</w:t>
            </w:r>
          </w:p>
        </w:tc>
        <w:tc>
          <w:tcPr>
            <w:tcW w:w="1460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Beta</w:t>
            </w:r>
          </w:p>
        </w:tc>
        <w:tc>
          <w:tcPr>
            <w:tcW w:w="972" w:type="dxa"/>
            <w:vMerge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11" w:type="dxa"/>
            <w:vMerge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6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Tolerance</w:t>
            </w:r>
          </w:p>
        </w:tc>
        <w:tc>
          <w:tcPr>
            <w:tcW w:w="812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VIF</w:t>
            </w:r>
          </w:p>
        </w:tc>
      </w:tr>
      <w:tr w:rsidR="005A513E" w:rsidRPr="00CE55B7" w:rsidTr="007224AB">
        <w:trPr>
          <w:cantSplit/>
          <w:trHeight w:val="77"/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1192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(Constant)</w:t>
            </w:r>
          </w:p>
        </w:tc>
        <w:tc>
          <w:tcPr>
            <w:tcW w:w="1018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,112</w:t>
            </w:r>
          </w:p>
        </w:tc>
        <w:tc>
          <w:tcPr>
            <w:tcW w:w="1298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,002</w:t>
            </w:r>
          </w:p>
        </w:tc>
        <w:tc>
          <w:tcPr>
            <w:tcW w:w="1460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48,267</w:t>
            </w:r>
          </w:p>
        </w:tc>
        <w:tc>
          <w:tcPr>
            <w:tcW w:w="811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,000</w:t>
            </w:r>
          </w:p>
        </w:tc>
        <w:tc>
          <w:tcPr>
            <w:tcW w:w="1136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</w:tr>
      <w:tr w:rsidR="005A513E" w:rsidRPr="00CE55B7" w:rsidTr="007224AB">
        <w:trPr>
          <w:cantSplit/>
          <w:trHeight w:val="35"/>
          <w:jc w:val="center"/>
        </w:trPr>
        <w:tc>
          <w:tcPr>
            <w:tcW w:w="712" w:type="dxa"/>
            <w:vMerge/>
            <w:tcBorders>
              <w:top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92" w:type="dxa"/>
            <w:tcBorders>
              <w:top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NPL/NPF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,037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,012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,051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3,112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,002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,472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2,121</w:t>
            </w:r>
          </w:p>
        </w:tc>
      </w:tr>
      <w:tr w:rsidR="005A513E" w:rsidRPr="00CE55B7" w:rsidTr="007224AB">
        <w:trPr>
          <w:cantSplit/>
          <w:trHeight w:val="35"/>
          <w:jc w:val="center"/>
        </w:trPr>
        <w:tc>
          <w:tcPr>
            <w:tcW w:w="712" w:type="dxa"/>
            <w:vMerge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LDR/FDR</w:t>
            </w:r>
          </w:p>
        </w:tc>
        <w:tc>
          <w:tcPr>
            <w:tcW w:w="1018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-,011</w:t>
            </w:r>
          </w:p>
        </w:tc>
        <w:tc>
          <w:tcPr>
            <w:tcW w:w="1298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,001</w:t>
            </w:r>
          </w:p>
        </w:tc>
        <w:tc>
          <w:tcPr>
            <w:tcW w:w="1460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-,133</w:t>
            </w:r>
          </w:p>
        </w:tc>
        <w:tc>
          <w:tcPr>
            <w:tcW w:w="97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-10,188</w:t>
            </w:r>
          </w:p>
        </w:tc>
        <w:tc>
          <w:tcPr>
            <w:tcW w:w="811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,000</w:t>
            </w:r>
          </w:p>
        </w:tc>
        <w:tc>
          <w:tcPr>
            <w:tcW w:w="1136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,744</w:t>
            </w:r>
          </w:p>
        </w:tc>
        <w:tc>
          <w:tcPr>
            <w:tcW w:w="81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1,344</w:t>
            </w:r>
          </w:p>
        </w:tc>
      </w:tr>
      <w:tr w:rsidR="005A513E" w:rsidRPr="00CE55B7" w:rsidTr="007224AB">
        <w:trPr>
          <w:cantSplit/>
          <w:trHeight w:val="35"/>
          <w:jc w:val="center"/>
        </w:trPr>
        <w:tc>
          <w:tcPr>
            <w:tcW w:w="712" w:type="dxa"/>
            <w:vMerge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GCG</w:t>
            </w:r>
          </w:p>
        </w:tc>
        <w:tc>
          <w:tcPr>
            <w:tcW w:w="1018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-,004</w:t>
            </w:r>
          </w:p>
        </w:tc>
        <w:tc>
          <w:tcPr>
            <w:tcW w:w="1298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,002</w:t>
            </w:r>
          </w:p>
        </w:tc>
        <w:tc>
          <w:tcPr>
            <w:tcW w:w="1460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-,034</w:t>
            </w:r>
          </w:p>
        </w:tc>
        <w:tc>
          <w:tcPr>
            <w:tcW w:w="97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-2,752</w:t>
            </w:r>
          </w:p>
        </w:tc>
        <w:tc>
          <w:tcPr>
            <w:tcW w:w="811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,007</w:t>
            </w:r>
          </w:p>
        </w:tc>
        <w:tc>
          <w:tcPr>
            <w:tcW w:w="1136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,821</w:t>
            </w:r>
          </w:p>
        </w:tc>
        <w:tc>
          <w:tcPr>
            <w:tcW w:w="81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1,218</w:t>
            </w:r>
          </w:p>
        </w:tc>
      </w:tr>
      <w:tr w:rsidR="005A513E" w:rsidRPr="00CE55B7" w:rsidTr="007224AB">
        <w:trPr>
          <w:cantSplit/>
          <w:trHeight w:val="35"/>
          <w:jc w:val="center"/>
        </w:trPr>
        <w:tc>
          <w:tcPr>
            <w:tcW w:w="712" w:type="dxa"/>
            <w:vMerge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NIM/NOM</w:t>
            </w:r>
          </w:p>
        </w:tc>
        <w:tc>
          <w:tcPr>
            <w:tcW w:w="1018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,052</w:t>
            </w:r>
          </w:p>
        </w:tc>
        <w:tc>
          <w:tcPr>
            <w:tcW w:w="1298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,009</w:t>
            </w:r>
          </w:p>
        </w:tc>
        <w:tc>
          <w:tcPr>
            <w:tcW w:w="1460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,072</w:t>
            </w:r>
          </w:p>
        </w:tc>
        <w:tc>
          <w:tcPr>
            <w:tcW w:w="97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5,612</w:t>
            </w:r>
          </w:p>
        </w:tc>
        <w:tc>
          <w:tcPr>
            <w:tcW w:w="811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,000</w:t>
            </w:r>
          </w:p>
        </w:tc>
        <w:tc>
          <w:tcPr>
            <w:tcW w:w="1136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,773</w:t>
            </w:r>
          </w:p>
        </w:tc>
        <w:tc>
          <w:tcPr>
            <w:tcW w:w="81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1,293</w:t>
            </w:r>
          </w:p>
        </w:tc>
      </w:tr>
      <w:tr w:rsidR="005A513E" w:rsidRPr="00CE55B7" w:rsidTr="007224AB">
        <w:trPr>
          <w:cantSplit/>
          <w:trHeight w:val="35"/>
          <w:jc w:val="center"/>
        </w:trPr>
        <w:tc>
          <w:tcPr>
            <w:tcW w:w="712" w:type="dxa"/>
            <w:vMerge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BOPO</w:t>
            </w:r>
          </w:p>
        </w:tc>
        <w:tc>
          <w:tcPr>
            <w:tcW w:w="1018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-,102</w:t>
            </w:r>
          </w:p>
        </w:tc>
        <w:tc>
          <w:tcPr>
            <w:tcW w:w="1298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,002</w:t>
            </w:r>
          </w:p>
        </w:tc>
        <w:tc>
          <w:tcPr>
            <w:tcW w:w="1460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-1,029</w:t>
            </w:r>
          </w:p>
        </w:tc>
        <w:tc>
          <w:tcPr>
            <w:tcW w:w="97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-59,614</w:t>
            </w:r>
          </w:p>
        </w:tc>
        <w:tc>
          <w:tcPr>
            <w:tcW w:w="811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,000</w:t>
            </w:r>
          </w:p>
        </w:tc>
        <w:tc>
          <w:tcPr>
            <w:tcW w:w="1136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,426</w:t>
            </w:r>
          </w:p>
        </w:tc>
        <w:tc>
          <w:tcPr>
            <w:tcW w:w="81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2,345</w:t>
            </w:r>
          </w:p>
        </w:tc>
      </w:tr>
      <w:tr w:rsidR="005A513E" w:rsidRPr="00CE55B7" w:rsidTr="007224AB">
        <w:trPr>
          <w:cantSplit/>
          <w:trHeight w:val="35"/>
          <w:jc w:val="center"/>
        </w:trPr>
        <w:tc>
          <w:tcPr>
            <w:tcW w:w="712" w:type="dxa"/>
            <w:vMerge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CAR</w:t>
            </w:r>
          </w:p>
        </w:tc>
        <w:tc>
          <w:tcPr>
            <w:tcW w:w="1018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-,001</w:t>
            </w:r>
          </w:p>
        </w:tc>
        <w:tc>
          <w:tcPr>
            <w:tcW w:w="1298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,004</w:t>
            </w:r>
          </w:p>
        </w:tc>
        <w:tc>
          <w:tcPr>
            <w:tcW w:w="1460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-,004</w:t>
            </w:r>
          </w:p>
        </w:tc>
        <w:tc>
          <w:tcPr>
            <w:tcW w:w="97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-,293</w:t>
            </w:r>
          </w:p>
        </w:tc>
        <w:tc>
          <w:tcPr>
            <w:tcW w:w="811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,770</w:t>
            </w:r>
          </w:p>
        </w:tc>
        <w:tc>
          <w:tcPr>
            <w:tcW w:w="1136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,870</w:t>
            </w:r>
          </w:p>
        </w:tc>
        <w:tc>
          <w:tcPr>
            <w:tcW w:w="81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1,149</w:t>
            </w:r>
          </w:p>
        </w:tc>
      </w:tr>
      <w:tr w:rsidR="005A513E" w:rsidRPr="00CE55B7" w:rsidTr="007224AB">
        <w:trPr>
          <w:cantSplit/>
          <w:trHeight w:val="35"/>
          <w:jc w:val="center"/>
        </w:trPr>
        <w:tc>
          <w:tcPr>
            <w:tcW w:w="712" w:type="dxa"/>
            <w:vMerge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9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Jenis</w:t>
            </w:r>
            <w:r w:rsidR="00CE55B7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E55B7">
              <w:rPr>
                <w:rFonts w:ascii="Tahoma" w:hAnsi="Tahoma" w:cs="Tahoma"/>
                <w:color w:val="000000" w:themeColor="text1"/>
              </w:rPr>
              <w:t>Bank</w:t>
            </w:r>
          </w:p>
        </w:tc>
        <w:tc>
          <w:tcPr>
            <w:tcW w:w="1018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-,001</w:t>
            </w:r>
          </w:p>
        </w:tc>
        <w:tc>
          <w:tcPr>
            <w:tcW w:w="1298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,001</w:t>
            </w:r>
          </w:p>
        </w:tc>
        <w:tc>
          <w:tcPr>
            <w:tcW w:w="1460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-,025</w:t>
            </w:r>
          </w:p>
        </w:tc>
        <w:tc>
          <w:tcPr>
            <w:tcW w:w="97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-1,990</w:t>
            </w:r>
          </w:p>
        </w:tc>
        <w:tc>
          <w:tcPr>
            <w:tcW w:w="811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,048</w:t>
            </w:r>
          </w:p>
        </w:tc>
        <w:tc>
          <w:tcPr>
            <w:tcW w:w="1136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,824</w:t>
            </w:r>
          </w:p>
        </w:tc>
        <w:tc>
          <w:tcPr>
            <w:tcW w:w="812" w:type="dxa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1,213</w:t>
            </w:r>
          </w:p>
        </w:tc>
      </w:tr>
      <w:tr w:rsidR="00F83928" w:rsidRPr="00CE55B7" w:rsidTr="008E589B">
        <w:trPr>
          <w:cantSplit/>
          <w:trHeight w:val="22"/>
          <w:jc w:val="center"/>
        </w:trPr>
        <w:tc>
          <w:tcPr>
            <w:tcW w:w="9411" w:type="dxa"/>
            <w:gridSpan w:val="9"/>
            <w:shd w:val="clear" w:color="auto" w:fill="FFFFFF" w:themeFill="background1"/>
          </w:tcPr>
          <w:p w:rsidR="00F83928" w:rsidRPr="00CE55B7" w:rsidRDefault="00F83928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color w:val="000000" w:themeColor="text1"/>
              </w:rPr>
            </w:pPr>
            <w:r w:rsidRPr="00CE55B7">
              <w:rPr>
                <w:rFonts w:ascii="Tahoma" w:hAnsi="Tahoma" w:cs="Tahoma"/>
                <w:color w:val="000000" w:themeColor="text1"/>
              </w:rPr>
              <w:t>a.</w:t>
            </w:r>
            <w:r w:rsidR="00CE55B7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E55B7">
              <w:rPr>
                <w:rFonts w:ascii="Tahoma" w:hAnsi="Tahoma" w:cs="Tahoma"/>
                <w:color w:val="000000" w:themeColor="text1"/>
              </w:rPr>
              <w:t>Dependent</w:t>
            </w:r>
            <w:r w:rsidR="00CE55B7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E55B7">
              <w:rPr>
                <w:rFonts w:ascii="Tahoma" w:hAnsi="Tahoma" w:cs="Tahoma"/>
                <w:color w:val="000000" w:themeColor="text1"/>
              </w:rPr>
              <w:t>Variable:</w:t>
            </w:r>
            <w:r w:rsidR="00CE55B7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E55B7">
              <w:rPr>
                <w:rFonts w:ascii="Tahoma" w:hAnsi="Tahoma" w:cs="Tahoma"/>
                <w:color w:val="000000" w:themeColor="text1"/>
              </w:rPr>
              <w:t>ROA</w:t>
            </w:r>
          </w:p>
        </w:tc>
      </w:tr>
    </w:tbl>
    <w:p w:rsidR="00F83928" w:rsidRPr="00CE55B7" w:rsidRDefault="00CE55B7" w:rsidP="00BB24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lang w:val="id-ID"/>
        </w:rPr>
        <w:t xml:space="preserve"> </w:t>
      </w:r>
      <w:r w:rsidR="0076339C" w:rsidRPr="00CE55B7">
        <w:rPr>
          <w:rFonts w:ascii="Tahoma" w:hAnsi="Tahoma" w:cs="Tahoma"/>
          <w:i/>
          <w:lang w:val="id-ID"/>
        </w:rPr>
        <w:t>Sumber</w:t>
      </w:r>
      <w:r>
        <w:rPr>
          <w:rFonts w:ascii="Tahoma" w:hAnsi="Tahoma" w:cs="Tahoma"/>
          <w:i/>
          <w:lang w:val="id-ID"/>
        </w:rPr>
        <w:t xml:space="preserve"> </w:t>
      </w:r>
      <w:r w:rsidR="0076339C" w:rsidRPr="00CE55B7">
        <w:rPr>
          <w:rFonts w:ascii="Tahoma" w:hAnsi="Tahoma" w:cs="Tahoma"/>
          <w:i/>
          <w:lang w:val="id-ID"/>
        </w:rPr>
        <w:t>:</w:t>
      </w:r>
      <w:r>
        <w:rPr>
          <w:rFonts w:ascii="Tahoma" w:hAnsi="Tahoma" w:cs="Tahoma"/>
          <w:i/>
          <w:lang w:val="id-ID"/>
        </w:rPr>
        <w:t xml:space="preserve"> </w:t>
      </w:r>
      <w:r w:rsidR="0076339C" w:rsidRPr="00CE55B7">
        <w:rPr>
          <w:rFonts w:ascii="Tahoma" w:hAnsi="Tahoma" w:cs="Tahoma"/>
          <w:i/>
          <w:lang w:val="id-ID"/>
        </w:rPr>
        <w:t>Hasil</w:t>
      </w:r>
      <w:r>
        <w:rPr>
          <w:rFonts w:ascii="Tahoma" w:hAnsi="Tahoma" w:cs="Tahoma"/>
          <w:i/>
          <w:lang w:val="id-ID"/>
        </w:rPr>
        <w:t xml:space="preserve"> </w:t>
      </w:r>
      <w:r w:rsidR="0076339C" w:rsidRPr="00CE55B7">
        <w:rPr>
          <w:rFonts w:ascii="Tahoma" w:hAnsi="Tahoma" w:cs="Tahoma"/>
          <w:i/>
          <w:lang w:val="id-ID"/>
        </w:rPr>
        <w:t>Output</w:t>
      </w:r>
      <w:r>
        <w:rPr>
          <w:rFonts w:ascii="Tahoma" w:hAnsi="Tahoma" w:cs="Tahoma"/>
          <w:i/>
          <w:lang w:val="id-ID"/>
        </w:rPr>
        <w:t xml:space="preserve"> </w:t>
      </w:r>
      <w:r w:rsidR="00F83928" w:rsidRPr="00CE55B7">
        <w:rPr>
          <w:rFonts w:ascii="Tahoma" w:hAnsi="Tahoma" w:cs="Tahoma"/>
          <w:i/>
          <w:lang w:val="id-ID"/>
        </w:rPr>
        <w:t>(Data</w:t>
      </w:r>
      <w:r>
        <w:rPr>
          <w:rFonts w:ascii="Tahoma" w:hAnsi="Tahoma" w:cs="Tahoma"/>
          <w:i/>
          <w:lang w:val="id-ID"/>
        </w:rPr>
        <w:t xml:space="preserve"> </w:t>
      </w:r>
      <w:r w:rsidR="00F83928" w:rsidRPr="00CE55B7">
        <w:rPr>
          <w:rFonts w:ascii="Tahoma" w:hAnsi="Tahoma" w:cs="Tahoma"/>
          <w:i/>
          <w:lang w:val="id-ID"/>
        </w:rPr>
        <w:t>Diolah</w:t>
      </w:r>
      <w:r>
        <w:rPr>
          <w:rFonts w:ascii="Tahoma" w:hAnsi="Tahoma" w:cs="Tahoma"/>
          <w:i/>
          <w:lang w:val="id-ID"/>
        </w:rPr>
        <w:t xml:space="preserve"> </w:t>
      </w:r>
      <w:r w:rsidR="00F83928" w:rsidRPr="00CE55B7">
        <w:rPr>
          <w:rFonts w:ascii="Tahoma" w:hAnsi="Tahoma" w:cs="Tahoma"/>
          <w:i/>
          <w:lang w:val="id-ID"/>
        </w:rPr>
        <w:t>Peneliti,</w:t>
      </w:r>
      <w:r>
        <w:rPr>
          <w:rFonts w:ascii="Tahoma" w:hAnsi="Tahoma" w:cs="Tahoma"/>
          <w:i/>
          <w:lang w:val="id-ID"/>
        </w:rPr>
        <w:t xml:space="preserve"> </w:t>
      </w:r>
      <w:r w:rsidR="00F83928" w:rsidRPr="00CE55B7">
        <w:rPr>
          <w:rFonts w:ascii="Tahoma" w:hAnsi="Tahoma" w:cs="Tahoma"/>
          <w:i/>
          <w:lang w:val="id-ID"/>
        </w:rPr>
        <w:t>2018)</w:t>
      </w:r>
    </w:p>
    <w:p w:rsidR="0076339C" w:rsidRPr="00CE55B7" w:rsidRDefault="0076339C" w:rsidP="00BB24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</w:rPr>
      </w:pPr>
    </w:p>
    <w:p w:rsidR="009004DB" w:rsidRPr="00CE55B7" w:rsidRDefault="009004DB" w:rsidP="00BB24A4">
      <w:pPr>
        <w:spacing w:after="0" w:line="240" w:lineRule="auto"/>
        <w:contextualSpacing/>
        <w:rPr>
          <w:rFonts w:ascii="Tahoma" w:hAnsi="Tahoma" w:cs="Tahoma"/>
        </w:rPr>
      </w:pPr>
      <w:r w:rsidRPr="00CE55B7">
        <w:rPr>
          <w:rFonts w:ascii="Tahoma" w:hAnsi="Tahoma" w:cs="Tahoma"/>
        </w:rPr>
        <w:t>Hasil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dari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analisis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regresi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terlihat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table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4.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Hasil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dari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persamaan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regresi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dapat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tulis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ebagai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dalam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persamaan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regresi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sebagai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</w:rPr>
        <w:t>berikut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:</w:t>
      </w:r>
      <w:proofErr w:type="gramEnd"/>
    </w:p>
    <w:p w:rsidR="00F83928" w:rsidRPr="00CE55B7" w:rsidRDefault="00F83928" w:rsidP="00BB24A4">
      <w:pPr>
        <w:spacing w:after="0" w:line="240" w:lineRule="auto"/>
        <w:contextualSpacing/>
        <w:jc w:val="center"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b/>
          <w:lang w:val="id-ID"/>
        </w:rPr>
        <w:t>Y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=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α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+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β1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X1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+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β2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X2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+β3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X3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+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β4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X4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+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β5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X5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+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β6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X6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+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β7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X7+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ε</w:t>
      </w:r>
    </w:p>
    <w:p w:rsidR="00F83928" w:rsidRPr="00CE55B7" w:rsidRDefault="00F83928" w:rsidP="00BB24A4">
      <w:pPr>
        <w:spacing w:after="0" w:line="240" w:lineRule="auto"/>
        <w:contextualSpacing/>
        <w:jc w:val="center"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b/>
          <w:lang w:val="id-ID"/>
        </w:rPr>
        <w:t>ROA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=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0,112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+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0,037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(NPL/NPF)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–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0,011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(LDR/FDR)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–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0,004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(GCG)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+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0,052</w:t>
      </w:r>
    </w:p>
    <w:p w:rsidR="00F83928" w:rsidRPr="00CE55B7" w:rsidRDefault="00F83928" w:rsidP="00BB24A4">
      <w:pPr>
        <w:spacing w:after="0" w:line="240" w:lineRule="auto"/>
        <w:ind w:firstLine="720"/>
        <w:contextualSpacing/>
        <w:jc w:val="center"/>
        <w:rPr>
          <w:rFonts w:ascii="Tahoma" w:hAnsi="Tahoma" w:cs="Tahoma"/>
          <w:b/>
        </w:rPr>
      </w:pPr>
      <w:r w:rsidRPr="00CE55B7">
        <w:rPr>
          <w:rFonts w:ascii="Tahoma" w:hAnsi="Tahoma" w:cs="Tahoma"/>
          <w:b/>
          <w:lang w:val="id-ID"/>
        </w:rPr>
        <w:t>(NIM/N0M)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–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0,102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(BOPO)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–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0,001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(CAR)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–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0,001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(Jenis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Bank)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+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ε</w:t>
      </w:r>
    </w:p>
    <w:p w:rsidR="005A513E" w:rsidRPr="00CE55B7" w:rsidRDefault="005A513E" w:rsidP="00BB24A4">
      <w:pPr>
        <w:spacing w:after="0" w:line="240" w:lineRule="auto"/>
        <w:ind w:firstLine="720"/>
        <w:contextualSpacing/>
        <w:jc w:val="center"/>
        <w:rPr>
          <w:rFonts w:ascii="Tahoma" w:hAnsi="Tahoma" w:cs="Tahoma"/>
          <w:b/>
        </w:rPr>
      </w:pPr>
    </w:p>
    <w:p w:rsidR="00BB24A4" w:rsidRDefault="00BB24A4" w:rsidP="00BB24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  <w:sectPr w:rsidR="00BB24A4" w:rsidSect="009E3B0A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83928" w:rsidRPr="00CE55B7" w:rsidRDefault="00F83928" w:rsidP="00BB24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lastRenderedPageBreak/>
        <w:t>Adapun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interpretasi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statistik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model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persamaan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berikut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:</w:t>
      </w:r>
    </w:p>
    <w:p w:rsidR="00F83928" w:rsidRPr="00CE55B7" w:rsidRDefault="00F83928" w:rsidP="00BB24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Konstanta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0,112.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menyatakan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jika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LDR/FDR,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meningkat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0,112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satuan.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Artinya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jika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LDR/FDR,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konstan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Januari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Desember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2016,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menyebabkan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meningkatnya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0,112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satuan.</w:t>
      </w:r>
    </w:p>
    <w:p w:rsidR="00F83928" w:rsidRPr="00CE55B7" w:rsidRDefault="00F83928" w:rsidP="00BB24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β1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(NPL/NPF)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0,037.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jika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setiap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kenaikan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</w:t>
      </w:r>
      <w:r w:rsidR="009004DB" w:rsidRPr="00CE55B7">
        <w:rPr>
          <w:rFonts w:ascii="Tahoma" w:hAnsi="Tahoma" w:cs="Tahoma"/>
        </w:rPr>
        <w:t>persen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maka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menyebabkan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meningkatnya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0,037</w:t>
      </w:r>
      <w:r w:rsidR="00CE55B7">
        <w:rPr>
          <w:rFonts w:ascii="Tahoma" w:hAnsi="Tahoma" w:cs="Tahoma"/>
          <w:lang w:val="id-ID"/>
        </w:rPr>
        <w:t xml:space="preserve"> </w:t>
      </w:r>
      <w:r w:rsidR="009004DB" w:rsidRPr="00CE55B7">
        <w:rPr>
          <w:rFonts w:ascii="Tahoma" w:hAnsi="Tahoma" w:cs="Tahoma"/>
        </w:rPr>
        <w:t>persen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catatan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dianggap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konstan.</w:t>
      </w:r>
    </w:p>
    <w:p w:rsidR="00F83928" w:rsidRPr="00CE55B7" w:rsidRDefault="00F83928" w:rsidP="00BB24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β2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(LDR/FDR)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-0,011.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</w:rPr>
        <w:t>berarti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setiap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kenaikan</w:t>
      </w:r>
      <w:r w:rsidR="00CE55B7">
        <w:rPr>
          <w:rFonts w:ascii="Tahoma" w:hAnsi="Tahoma" w:cs="Tahoma"/>
        </w:rPr>
        <w:t xml:space="preserve"> </w:t>
      </w:r>
      <w:r w:rsidR="009004DB" w:rsidRPr="00CE55B7">
        <w:rPr>
          <w:rFonts w:ascii="Tahoma" w:hAnsi="Tahoma" w:cs="Tahoma"/>
        </w:rPr>
        <w:t>rasio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LDR/FDR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sebesar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1</w:t>
      </w:r>
      <w:r w:rsidR="009004DB" w:rsidRPr="00CE55B7">
        <w:rPr>
          <w:rFonts w:ascii="Tahoma" w:hAnsi="Tahoma" w:cs="Tahoma"/>
        </w:rPr>
        <w:t>%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maka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Pr="00CE55B7">
        <w:rPr>
          <w:rFonts w:ascii="Tahoma" w:hAnsi="Tahoma" w:cs="Tahoma"/>
        </w:rPr>
        <w:t>akan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mengalami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penurunan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sebesar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0,0</w:t>
      </w:r>
      <w:r w:rsidRPr="00CE55B7">
        <w:rPr>
          <w:rFonts w:ascii="Tahoma" w:hAnsi="Tahoma" w:cs="Tahoma"/>
          <w:lang w:val="id-ID"/>
        </w:rPr>
        <w:t>1</w:t>
      </w:r>
      <w:r w:rsidRPr="00CE55B7">
        <w:rPr>
          <w:rFonts w:ascii="Tahoma" w:hAnsi="Tahoma" w:cs="Tahoma"/>
        </w:rPr>
        <w:t>1</w:t>
      </w:r>
      <w:r w:rsidR="00CE55B7">
        <w:rPr>
          <w:rFonts w:ascii="Tahoma" w:hAnsi="Tahoma" w:cs="Tahoma"/>
        </w:rPr>
        <w:t xml:space="preserve"> </w:t>
      </w:r>
      <w:r w:rsidR="009004DB" w:rsidRPr="00CE55B7">
        <w:rPr>
          <w:rFonts w:ascii="Tahoma" w:hAnsi="Tahoma" w:cs="Tahoma"/>
        </w:rPr>
        <w:t>persen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satuan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catatan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dianggap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konstan</w:t>
      </w:r>
      <w:r w:rsidRPr="00CE55B7">
        <w:rPr>
          <w:rFonts w:ascii="Tahoma" w:hAnsi="Tahoma" w:cs="Tahoma"/>
        </w:rPr>
        <w:t>.</w:t>
      </w:r>
    </w:p>
    <w:p w:rsidR="00F83928" w:rsidRPr="00CE55B7" w:rsidRDefault="00F83928" w:rsidP="00BB24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β3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(GCG)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-0,004.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jika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setiap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kenaikan</w:t>
      </w:r>
      <w:r w:rsidR="00CE55B7">
        <w:rPr>
          <w:rFonts w:ascii="Tahoma" w:hAnsi="Tahoma" w:cs="Tahoma"/>
          <w:lang w:val="id-ID"/>
        </w:rPr>
        <w:t xml:space="preserve"> </w:t>
      </w:r>
      <w:r w:rsidR="009004DB" w:rsidRPr="00CE55B7">
        <w:rPr>
          <w:rFonts w:ascii="Tahoma" w:hAnsi="Tahoma" w:cs="Tahoma"/>
        </w:rPr>
        <w:t>skor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GCG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satuan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menyebabkan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menurunnya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0,004</w:t>
      </w:r>
      <w:r w:rsidR="00CE55B7">
        <w:rPr>
          <w:rFonts w:ascii="Tahoma" w:hAnsi="Tahoma" w:cs="Tahoma"/>
          <w:lang w:val="id-ID"/>
        </w:rPr>
        <w:t xml:space="preserve"> </w:t>
      </w:r>
      <w:r w:rsidR="009004DB" w:rsidRPr="00CE55B7">
        <w:rPr>
          <w:rFonts w:ascii="Tahoma" w:hAnsi="Tahoma" w:cs="Tahoma"/>
        </w:rPr>
        <w:t>%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catatan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dianggap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konstan.</w:t>
      </w:r>
    </w:p>
    <w:p w:rsidR="00F83928" w:rsidRPr="00CE55B7" w:rsidRDefault="00F83928" w:rsidP="00BB24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β4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(NIM/NOM)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0,052.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</w:rPr>
        <w:t>berarti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setiap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kenaikan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NIM/NOM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sebesar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satuan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maka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</w:rPr>
        <w:t>akan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mengalami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kenaikan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sebesar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0,052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satuan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catatan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dianggap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konstan</w:t>
      </w:r>
      <w:r w:rsidRPr="00CE55B7">
        <w:rPr>
          <w:rFonts w:ascii="Tahoma" w:hAnsi="Tahoma" w:cs="Tahoma"/>
        </w:rPr>
        <w:t>.</w:t>
      </w:r>
    </w:p>
    <w:p w:rsidR="00F83928" w:rsidRPr="00CE55B7" w:rsidRDefault="00F83928" w:rsidP="00BB24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β5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(BOPO)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-0,102.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menunjukanbahwa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setiap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kenaikan</w:t>
      </w:r>
      <w:r w:rsidR="00CE55B7">
        <w:rPr>
          <w:rFonts w:ascii="Tahoma" w:hAnsi="Tahoma" w:cs="Tahoma"/>
        </w:rPr>
        <w:t xml:space="preserve"> </w:t>
      </w:r>
      <w:r w:rsidR="009004DB" w:rsidRPr="00CE55B7">
        <w:rPr>
          <w:rFonts w:ascii="Tahoma" w:hAnsi="Tahoma" w:cs="Tahoma"/>
        </w:rPr>
        <w:t>rasio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BOPO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sebesar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1</w:t>
      </w:r>
      <w:r w:rsidR="009004DB" w:rsidRPr="00CE55B7">
        <w:rPr>
          <w:rFonts w:ascii="Tahoma" w:hAnsi="Tahoma" w:cs="Tahoma"/>
        </w:rPr>
        <w:t>%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maka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Pr="00CE55B7">
        <w:rPr>
          <w:rFonts w:ascii="Tahoma" w:hAnsi="Tahoma" w:cs="Tahoma"/>
        </w:rPr>
        <w:t>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mengalami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penurunan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sebesar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0,</w:t>
      </w:r>
      <w:r w:rsidRPr="00CE55B7">
        <w:rPr>
          <w:rFonts w:ascii="Tahoma" w:hAnsi="Tahoma" w:cs="Tahoma"/>
          <w:lang w:val="id-ID"/>
        </w:rPr>
        <w:t>102</w:t>
      </w:r>
      <w:r w:rsidR="00CE55B7">
        <w:rPr>
          <w:rFonts w:ascii="Tahoma" w:hAnsi="Tahoma" w:cs="Tahoma"/>
          <w:lang w:val="id-ID"/>
        </w:rPr>
        <w:t xml:space="preserve"> </w:t>
      </w:r>
      <w:r w:rsidR="009004DB" w:rsidRPr="00CE55B7">
        <w:rPr>
          <w:rFonts w:ascii="Tahoma" w:hAnsi="Tahoma" w:cs="Tahoma"/>
        </w:rPr>
        <w:t>%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catatan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dianggap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konstan</w:t>
      </w:r>
      <w:r w:rsidRPr="00CE55B7">
        <w:rPr>
          <w:rFonts w:ascii="Tahoma" w:hAnsi="Tahoma" w:cs="Tahoma"/>
        </w:rPr>
        <w:t>.</w:t>
      </w:r>
    </w:p>
    <w:p w:rsidR="00F83928" w:rsidRPr="00CE55B7" w:rsidRDefault="00F83928" w:rsidP="00BB24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β6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(CAR)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-0,001.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</w:rPr>
        <w:t>berarti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setiap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kenaikan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lastRenderedPageBreak/>
        <w:t>CAR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sebesar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1</w:t>
      </w:r>
      <w:r w:rsidR="009004DB" w:rsidRPr="00CE55B7">
        <w:rPr>
          <w:rFonts w:ascii="Tahoma" w:hAnsi="Tahoma" w:cs="Tahoma"/>
        </w:rPr>
        <w:t>%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maka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mengalami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penurunan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sebesar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0,0</w:t>
      </w:r>
      <w:r w:rsidRPr="00CE55B7">
        <w:rPr>
          <w:rFonts w:ascii="Tahoma" w:hAnsi="Tahoma" w:cs="Tahoma"/>
          <w:lang w:val="id-ID"/>
        </w:rPr>
        <w:t>0</w:t>
      </w:r>
      <w:r w:rsidRPr="00CE55B7">
        <w:rPr>
          <w:rFonts w:ascii="Tahoma" w:hAnsi="Tahoma" w:cs="Tahoma"/>
        </w:rPr>
        <w:t>1</w:t>
      </w:r>
      <w:r w:rsidR="009004DB" w:rsidRPr="00CE55B7">
        <w:rPr>
          <w:rFonts w:ascii="Tahoma" w:hAnsi="Tahoma" w:cs="Tahoma"/>
        </w:rPr>
        <w:t>%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catatan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dianggap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konstan</w:t>
      </w:r>
      <w:r w:rsidRPr="00CE55B7">
        <w:rPr>
          <w:rFonts w:ascii="Tahoma" w:hAnsi="Tahoma" w:cs="Tahoma"/>
        </w:rPr>
        <w:t>.</w:t>
      </w:r>
    </w:p>
    <w:p w:rsidR="009A48AB" w:rsidRPr="00CE55B7" w:rsidRDefault="00F83928" w:rsidP="00BB24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β7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adalah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-0,001.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menunjukanbahwa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(dummy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rendah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0,001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dibandingkan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(dummy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catatan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dianggap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konstan</w:t>
      </w:r>
      <w:r w:rsidRPr="00CE55B7">
        <w:rPr>
          <w:rFonts w:ascii="Tahoma" w:hAnsi="Tahoma" w:cs="Tahoma"/>
        </w:rPr>
        <w:t>.</w:t>
      </w:r>
    </w:p>
    <w:p w:rsidR="00BB24A4" w:rsidRDefault="00BB24A4" w:rsidP="00BB24A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lang w:val="id-ID"/>
        </w:rPr>
        <w:sectPr w:rsidR="00BB24A4" w:rsidSect="00BB24A4">
          <w:type w:val="continuous"/>
          <w:pgSz w:w="11906" w:h="16838" w:code="9"/>
          <w:pgMar w:top="1134" w:right="1134" w:bottom="1134" w:left="1134" w:header="709" w:footer="709" w:gutter="0"/>
          <w:cols w:num="2" w:space="282"/>
          <w:docGrid w:linePitch="360"/>
        </w:sectPr>
      </w:pPr>
    </w:p>
    <w:p w:rsidR="009A48AB" w:rsidRPr="00CE55B7" w:rsidRDefault="009A48AB" w:rsidP="00BB24A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lang w:val="id-ID"/>
        </w:rPr>
      </w:pPr>
    </w:p>
    <w:p w:rsidR="006D2CFE" w:rsidRPr="00CE55B7" w:rsidRDefault="006D2CFE" w:rsidP="00BB24A4">
      <w:pPr>
        <w:spacing w:after="0" w:line="240" w:lineRule="auto"/>
        <w:contextualSpacing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b/>
          <w:lang w:val="id-ID"/>
        </w:rPr>
        <w:t>Uji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Hipotesis</w:t>
      </w:r>
    </w:p>
    <w:p w:rsidR="00F83928" w:rsidRPr="00CE55B7" w:rsidRDefault="00F83928" w:rsidP="00BB24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b/>
          <w:lang w:val="id-ID"/>
        </w:rPr>
        <w:t>Uji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F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(Secara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bersama-sama)</w:t>
      </w:r>
    </w:p>
    <w:p w:rsidR="009A48AB" w:rsidRPr="00B33D0B" w:rsidRDefault="00711430" w:rsidP="00BB24A4">
      <w:pPr>
        <w:pStyle w:val="ListParagraph"/>
        <w:spacing w:after="0" w:line="240" w:lineRule="auto"/>
        <w:ind w:left="360"/>
        <w:jc w:val="center"/>
        <w:rPr>
          <w:rFonts w:ascii="Tahoma" w:hAnsi="Tahoma" w:cs="Tahoma"/>
          <w:lang w:val="id-ID"/>
        </w:rPr>
      </w:pPr>
      <w:r w:rsidRPr="00B33D0B">
        <w:rPr>
          <w:rFonts w:ascii="Tahoma" w:hAnsi="Tahoma" w:cs="Tahoma"/>
          <w:lang w:val="id-ID"/>
        </w:rPr>
        <w:t>Tabel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5</w:t>
      </w:r>
    </w:p>
    <w:p w:rsidR="009A48AB" w:rsidRPr="00B33D0B" w:rsidRDefault="009A48AB" w:rsidP="00BB24A4">
      <w:pPr>
        <w:pStyle w:val="ListParagraph"/>
        <w:spacing w:after="0" w:line="240" w:lineRule="auto"/>
        <w:ind w:left="360"/>
        <w:jc w:val="center"/>
        <w:rPr>
          <w:rFonts w:ascii="Tahoma" w:hAnsi="Tahoma" w:cs="Tahoma"/>
          <w:lang w:val="id-ID"/>
        </w:rPr>
      </w:pPr>
      <w:r w:rsidRPr="00B33D0B">
        <w:rPr>
          <w:rFonts w:ascii="Tahoma" w:hAnsi="Tahoma" w:cs="Tahoma"/>
          <w:lang w:val="id-ID"/>
        </w:rPr>
        <w:t>Hasil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Uji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F</w:t>
      </w:r>
    </w:p>
    <w:tbl>
      <w:tblPr>
        <w:tblW w:w="87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402"/>
        <w:gridCol w:w="1603"/>
        <w:gridCol w:w="1118"/>
        <w:gridCol w:w="1536"/>
        <w:gridCol w:w="1186"/>
        <w:gridCol w:w="1118"/>
      </w:tblGrid>
      <w:tr w:rsidR="009A48AB" w:rsidRPr="00CE55B7" w:rsidTr="008E589B">
        <w:trPr>
          <w:cantSplit/>
          <w:trHeight w:val="154"/>
          <w:jc w:val="center"/>
        </w:trPr>
        <w:tc>
          <w:tcPr>
            <w:tcW w:w="876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  <w:b/>
                <w:bCs/>
              </w:rPr>
              <w:t>ANOVA</w:t>
            </w:r>
            <w:r w:rsidRPr="00CE55B7">
              <w:rPr>
                <w:rFonts w:ascii="Tahoma" w:hAnsi="Tahoma" w:cs="Tahoma"/>
                <w:b/>
                <w:bCs/>
                <w:vertAlign w:val="superscript"/>
              </w:rPr>
              <w:t>a</w:t>
            </w:r>
          </w:p>
        </w:tc>
      </w:tr>
      <w:tr w:rsidR="009A48AB" w:rsidRPr="00CE55B7" w:rsidTr="008E589B">
        <w:trPr>
          <w:cantSplit/>
          <w:trHeight w:val="309"/>
          <w:jc w:val="center"/>
        </w:trPr>
        <w:tc>
          <w:tcPr>
            <w:tcW w:w="22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Model</w:t>
            </w:r>
          </w:p>
        </w:tc>
        <w:tc>
          <w:tcPr>
            <w:tcW w:w="1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Sum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of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Squares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Df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Mean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Square</w:t>
            </w:r>
          </w:p>
        </w:tc>
        <w:tc>
          <w:tcPr>
            <w:tcW w:w="11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F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Sig.</w:t>
            </w:r>
          </w:p>
        </w:tc>
      </w:tr>
      <w:tr w:rsidR="009A48AB" w:rsidRPr="00CE55B7" w:rsidTr="008E589B">
        <w:trPr>
          <w:cantSplit/>
          <w:trHeight w:val="145"/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1</w:t>
            </w:r>
          </w:p>
        </w:tc>
        <w:tc>
          <w:tcPr>
            <w:tcW w:w="1402" w:type="dxa"/>
            <w:tcBorders>
              <w:top w:val="single" w:sz="8" w:space="0" w:color="auto"/>
            </w:tcBorders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Regression</w:t>
            </w:r>
          </w:p>
        </w:tc>
        <w:tc>
          <w:tcPr>
            <w:tcW w:w="1603" w:type="dxa"/>
            <w:tcBorders>
              <w:top w:val="single" w:sz="8" w:space="0" w:color="auto"/>
            </w:tcBorders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,046</w:t>
            </w:r>
          </w:p>
        </w:tc>
        <w:tc>
          <w:tcPr>
            <w:tcW w:w="1118" w:type="dxa"/>
            <w:tcBorders>
              <w:top w:val="single" w:sz="8" w:space="0" w:color="auto"/>
            </w:tcBorders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</w:tcBorders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,007</w:t>
            </w:r>
          </w:p>
        </w:tc>
        <w:tc>
          <w:tcPr>
            <w:tcW w:w="1186" w:type="dxa"/>
            <w:tcBorders>
              <w:top w:val="single" w:sz="8" w:space="0" w:color="auto"/>
            </w:tcBorders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1100,861</w:t>
            </w:r>
          </w:p>
        </w:tc>
        <w:tc>
          <w:tcPr>
            <w:tcW w:w="1118" w:type="dxa"/>
            <w:tcBorders>
              <w:top w:val="single" w:sz="8" w:space="0" w:color="auto"/>
            </w:tcBorders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,000</w:t>
            </w:r>
            <w:r w:rsidRPr="00CE55B7">
              <w:rPr>
                <w:rFonts w:ascii="Tahoma" w:hAnsi="Tahoma" w:cs="Tahoma"/>
                <w:vertAlign w:val="superscript"/>
              </w:rPr>
              <w:t>b</w:t>
            </w:r>
          </w:p>
        </w:tc>
      </w:tr>
      <w:tr w:rsidR="009A48AB" w:rsidRPr="00CE55B7" w:rsidTr="008E589B">
        <w:trPr>
          <w:cantSplit/>
          <w:trHeight w:val="87"/>
          <w:jc w:val="center"/>
        </w:trPr>
        <w:tc>
          <w:tcPr>
            <w:tcW w:w="799" w:type="dxa"/>
            <w:vMerge/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402" w:type="dxa"/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Residual</w:t>
            </w:r>
          </w:p>
        </w:tc>
        <w:tc>
          <w:tcPr>
            <w:tcW w:w="1603" w:type="dxa"/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,001</w:t>
            </w:r>
          </w:p>
        </w:tc>
        <w:tc>
          <w:tcPr>
            <w:tcW w:w="1118" w:type="dxa"/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160</w:t>
            </w:r>
          </w:p>
        </w:tc>
        <w:tc>
          <w:tcPr>
            <w:tcW w:w="1536" w:type="dxa"/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,000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9A48AB" w:rsidRPr="00CE55B7" w:rsidTr="00872AE3">
        <w:trPr>
          <w:cantSplit/>
          <w:trHeight w:val="87"/>
          <w:jc w:val="center"/>
        </w:trPr>
        <w:tc>
          <w:tcPr>
            <w:tcW w:w="79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402" w:type="dxa"/>
            <w:tcBorders>
              <w:bottom w:val="single" w:sz="8" w:space="0" w:color="auto"/>
            </w:tcBorders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Total</w:t>
            </w:r>
          </w:p>
        </w:tc>
        <w:tc>
          <w:tcPr>
            <w:tcW w:w="1603" w:type="dxa"/>
            <w:tcBorders>
              <w:bottom w:val="single" w:sz="8" w:space="0" w:color="auto"/>
            </w:tcBorders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,047</w:t>
            </w: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167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9A48AB" w:rsidRPr="00CE55B7" w:rsidTr="00872AE3">
        <w:trPr>
          <w:cantSplit/>
          <w:trHeight w:val="154"/>
          <w:jc w:val="center"/>
        </w:trPr>
        <w:tc>
          <w:tcPr>
            <w:tcW w:w="8762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a.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Dependent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Variable: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ROA</w:t>
            </w:r>
          </w:p>
        </w:tc>
      </w:tr>
      <w:tr w:rsidR="009A48AB" w:rsidRPr="00CE55B7" w:rsidTr="00872AE3">
        <w:trPr>
          <w:cantSplit/>
          <w:trHeight w:val="299"/>
          <w:jc w:val="center"/>
        </w:trPr>
        <w:tc>
          <w:tcPr>
            <w:tcW w:w="8762" w:type="dxa"/>
            <w:gridSpan w:val="7"/>
            <w:shd w:val="clear" w:color="auto" w:fill="auto"/>
          </w:tcPr>
          <w:p w:rsidR="009A48AB" w:rsidRPr="00CE55B7" w:rsidRDefault="009A48A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</w:rPr>
            </w:pPr>
            <w:r w:rsidRPr="00CE55B7">
              <w:rPr>
                <w:rFonts w:ascii="Tahoma" w:hAnsi="Tahoma" w:cs="Tahoma"/>
              </w:rPr>
              <w:t>b.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Predictors: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(Constant),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Jenis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Bank,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LDR/FDR,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NPL/NPF,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CAR,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GCG,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NIM/NOM,</w:t>
            </w:r>
            <w:r w:rsidR="00CE55B7">
              <w:rPr>
                <w:rFonts w:ascii="Tahoma" w:hAnsi="Tahoma" w:cs="Tahoma"/>
              </w:rPr>
              <w:t xml:space="preserve"> </w:t>
            </w:r>
            <w:r w:rsidRPr="00CE55B7">
              <w:rPr>
                <w:rFonts w:ascii="Tahoma" w:hAnsi="Tahoma" w:cs="Tahoma"/>
              </w:rPr>
              <w:t>BOPO</w:t>
            </w:r>
          </w:p>
        </w:tc>
      </w:tr>
    </w:tbl>
    <w:p w:rsidR="009A48AB" w:rsidRPr="00CE55B7" w:rsidRDefault="00CE55B7" w:rsidP="00BB24A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lang w:val="id-ID"/>
        </w:rPr>
        <w:t xml:space="preserve"> </w:t>
      </w:r>
      <w:r w:rsidR="009004DB" w:rsidRPr="00CE55B7">
        <w:rPr>
          <w:rFonts w:ascii="Tahoma" w:hAnsi="Tahoma" w:cs="Tahoma"/>
          <w:i/>
          <w:lang w:val="id-ID"/>
        </w:rPr>
        <w:t>Sumber</w:t>
      </w:r>
      <w:r>
        <w:rPr>
          <w:rFonts w:ascii="Tahoma" w:hAnsi="Tahoma" w:cs="Tahoma"/>
          <w:i/>
          <w:lang w:val="id-ID"/>
        </w:rPr>
        <w:t xml:space="preserve"> </w:t>
      </w:r>
      <w:r w:rsidR="009004DB" w:rsidRPr="00CE55B7">
        <w:rPr>
          <w:rFonts w:ascii="Tahoma" w:hAnsi="Tahoma" w:cs="Tahoma"/>
          <w:i/>
          <w:lang w:val="id-ID"/>
        </w:rPr>
        <w:t>:</w:t>
      </w:r>
      <w:r>
        <w:rPr>
          <w:rFonts w:ascii="Tahoma" w:hAnsi="Tahoma" w:cs="Tahoma"/>
          <w:i/>
          <w:lang w:val="id-ID"/>
        </w:rPr>
        <w:t xml:space="preserve"> </w:t>
      </w:r>
      <w:r w:rsidR="009004DB" w:rsidRPr="00CE55B7">
        <w:rPr>
          <w:rFonts w:ascii="Tahoma" w:hAnsi="Tahoma" w:cs="Tahoma"/>
          <w:i/>
          <w:lang w:val="id-ID"/>
        </w:rPr>
        <w:t>Hasil</w:t>
      </w:r>
      <w:r>
        <w:rPr>
          <w:rFonts w:ascii="Tahoma" w:hAnsi="Tahoma" w:cs="Tahoma"/>
          <w:i/>
          <w:lang w:val="id-ID"/>
        </w:rPr>
        <w:t xml:space="preserve"> </w:t>
      </w:r>
      <w:r w:rsidR="009004DB" w:rsidRPr="00CE55B7">
        <w:rPr>
          <w:rFonts w:ascii="Tahoma" w:hAnsi="Tahoma" w:cs="Tahoma"/>
          <w:i/>
          <w:lang w:val="id-ID"/>
        </w:rPr>
        <w:t>Output</w:t>
      </w:r>
      <w:r>
        <w:rPr>
          <w:rFonts w:ascii="Tahoma" w:hAnsi="Tahoma" w:cs="Tahoma"/>
          <w:i/>
          <w:lang w:val="id-ID"/>
        </w:rPr>
        <w:t xml:space="preserve"> </w:t>
      </w:r>
      <w:r w:rsidR="009A48AB" w:rsidRPr="00CE55B7">
        <w:rPr>
          <w:rFonts w:ascii="Tahoma" w:hAnsi="Tahoma" w:cs="Tahoma"/>
          <w:i/>
          <w:lang w:val="id-ID"/>
        </w:rPr>
        <w:t>(Data</w:t>
      </w:r>
      <w:r>
        <w:rPr>
          <w:rFonts w:ascii="Tahoma" w:hAnsi="Tahoma" w:cs="Tahoma"/>
          <w:i/>
          <w:lang w:val="id-ID"/>
        </w:rPr>
        <w:t xml:space="preserve"> </w:t>
      </w:r>
      <w:r w:rsidR="009A48AB" w:rsidRPr="00CE55B7">
        <w:rPr>
          <w:rFonts w:ascii="Tahoma" w:hAnsi="Tahoma" w:cs="Tahoma"/>
          <w:i/>
          <w:lang w:val="id-ID"/>
        </w:rPr>
        <w:t>Diolah</w:t>
      </w:r>
      <w:r>
        <w:rPr>
          <w:rFonts w:ascii="Tahoma" w:hAnsi="Tahoma" w:cs="Tahoma"/>
          <w:i/>
          <w:lang w:val="id-ID"/>
        </w:rPr>
        <w:t xml:space="preserve"> </w:t>
      </w:r>
      <w:r w:rsidR="009A48AB" w:rsidRPr="00CE55B7">
        <w:rPr>
          <w:rFonts w:ascii="Tahoma" w:hAnsi="Tahoma" w:cs="Tahoma"/>
          <w:i/>
          <w:lang w:val="id-ID"/>
        </w:rPr>
        <w:t>Peneliti,</w:t>
      </w:r>
      <w:r>
        <w:rPr>
          <w:rFonts w:ascii="Tahoma" w:hAnsi="Tahoma" w:cs="Tahoma"/>
          <w:i/>
          <w:lang w:val="id-ID"/>
        </w:rPr>
        <w:t xml:space="preserve"> </w:t>
      </w:r>
      <w:r w:rsidR="009A48AB" w:rsidRPr="00CE55B7">
        <w:rPr>
          <w:rFonts w:ascii="Tahoma" w:hAnsi="Tahoma" w:cs="Tahoma"/>
          <w:i/>
          <w:lang w:val="id-ID"/>
        </w:rPr>
        <w:t>2018)</w:t>
      </w:r>
    </w:p>
    <w:p w:rsidR="009004DB" w:rsidRPr="00CE55B7" w:rsidRDefault="009004DB" w:rsidP="00BB24A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BB24A4" w:rsidRDefault="00BB24A4" w:rsidP="00BB24A4">
      <w:pPr>
        <w:spacing w:after="0" w:line="240" w:lineRule="auto"/>
        <w:ind w:left="360" w:firstLine="720"/>
        <w:contextualSpacing/>
        <w:jc w:val="both"/>
        <w:rPr>
          <w:rFonts w:ascii="Tahoma" w:hAnsi="Tahoma" w:cs="Tahoma"/>
        </w:rPr>
        <w:sectPr w:rsidR="00BB24A4" w:rsidSect="009E3B0A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7689B" w:rsidRPr="00CE55B7" w:rsidRDefault="009A48AB" w:rsidP="008E589B">
      <w:pPr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hAnsi="Tahoma" w:cs="Tahoma"/>
        </w:rPr>
        <w:lastRenderedPageBreak/>
        <w:t>Pengujian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</w:rPr>
        <w:t>Hipotesis1: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bersama-sama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LDR/FDR,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ROA.</w:t>
      </w:r>
    </w:p>
    <w:p w:rsidR="009A48AB" w:rsidRDefault="00C7689B" w:rsidP="008E589B">
      <w:pPr>
        <w:spacing w:after="0" w:line="240" w:lineRule="auto"/>
        <w:ind w:firstLine="720"/>
        <w:contextualSpacing/>
        <w:jc w:val="both"/>
        <w:rPr>
          <w:rFonts w:ascii="Tahoma" w:hAnsi="Tahoma" w:cs="Tahoma"/>
          <w:color w:val="000000"/>
        </w:rPr>
      </w:pPr>
      <w:r w:rsidRPr="00CE55B7">
        <w:rPr>
          <w:rFonts w:ascii="Tahoma" w:hAnsi="Tahoma" w:cs="Tahoma"/>
        </w:rPr>
        <w:t>Berdasarkan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tabel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4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diatas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didapat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nilai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F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signifikan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&lt;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0</w:t>
      </w:r>
      <w:r w:rsidR="009A48AB" w:rsidRPr="00CE55B7">
        <w:rPr>
          <w:rFonts w:ascii="Tahoma" w:hAnsi="Tahoma" w:cs="Tahoma"/>
          <w:lang w:val="id-ID"/>
        </w:rPr>
        <w:t>,</w:t>
      </w:r>
      <w:r w:rsidR="009A48AB" w:rsidRPr="00CE55B7">
        <w:rPr>
          <w:rFonts w:ascii="Tahoma" w:hAnsi="Tahoma" w:cs="Tahoma"/>
        </w:rPr>
        <w:t>05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maka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Ho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ditolak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dan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Ha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diterima,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yang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menyatakan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bahwa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semua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lastRenderedPageBreak/>
        <w:t>variabel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independen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secara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bersama-sama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dan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signifikan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mempengaruhi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variabel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dependen.</w:t>
      </w:r>
      <w:r w:rsidR="00CE55B7">
        <w:rPr>
          <w:rFonts w:ascii="Tahoma" w:hAnsi="Tahoma" w:cs="Tahoma"/>
          <w:lang w:val="id-ID"/>
        </w:rPr>
        <w:t xml:space="preserve"> </w:t>
      </w:r>
      <w:proofErr w:type="gramStart"/>
      <w:r w:rsidR="009A48AB" w:rsidRPr="00CE55B7">
        <w:rPr>
          <w:rFonts w:ascii="Tahoma" w:hAnsi="Tahoma" w:cs="Tahoma"/>
        </w:rPr>
        <w:t>Maka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dapat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disimpulkan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hipotesis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pertama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yang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menyatakan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</w:rPr>
        <w:t>bahwa</w:t>
      </w:r>
      <w:r w:rsidR="00CE55B7">
        <w:rPr>
          <w:rFonts w:ascii="Tahoma" w:hAnsi="Tahoma" w:cs="Tahoma"/>
        </w:rPr>
        <w:t xml:space="preserve"> </w:t>
      </w:r>
      <w:r w:rsidR="009A48AB" w:rsidRPr="00CE55B7">
        <w:rPr>
          <w:rFonts w:ascii="Tahoma" w:hAnsi="Tahoma" w:cs="Tahoma"/>
          <w:lang w:val="id-ID"/>
        </w:rPr>
        <w:t>NPL/NPF,</w:t>
      </w:r>
      <w:r w:rsidR="00CE55B7">
        <w:rPr>
          <w:rFonts w:ascii="Tahoma" w:hAnsi="Tahoma" w:cs="Tahoma"/>
          <w:lang w:val="id-ID"/>
        </w:rPr>
        <w:t xml:space="preserve"> </w:t>
      </w:r>
      <w:r w:rsidR="009A48AB" w:rsidRPr="00CE55B7">
        <w:rPr>
          <w:rFonts w:ascii="Tahoma" w:hAnsi="Tahoma" w:cs="Tahoma"/>
          <w:lang w:val="id-ID"/>
        </w:rPr>
        <w:t>LDR/FDR,</w:t>
      </w:r>
      <w:r w:rsidR="00CE55B7">
        <w:rPr>
          <w:rFonts w:ascii="Tahoma" w:hAnsi="Tahoma" w:cs="Tahoma"/>
          <w:lang w:val="id-ID"/>
        </w:rPr>
        <w:t xml:space="preserve"> </w:t>
      </w:r>
      <w:r w:rsidR="009A48AB" w:rsidRPr="00CE55B7">
        <w:rPr>
          <w:rFonts w:ascii="Tahoma" w:hAnsi="Tahoma" w:cs="Tahoma"/>
          <w:lang w:val="id-ID"/>
        </w:rPr>
        <w:t>GCG,</w:t>
      </w:r>
      <w:r w:rsidR="00CE55B7">
        <w:rPr>
          <w:rFonts w:ascii="Tahoma" w:hAnsi="Tahoma" w:cs="Tahoma"/>
          <w:lang w:val="id-ID"/>
        </w:rPr>
        <w:t xml:space="preserve"> </w:t>
      </w:r>
      <w:r w:rsidR="009A48AB" w:rsidRPr="00CE55B7">
        <w:rPr>
          <w:rFonts w:ascii="Tahoma" w:hAnsi="Tahoma" w:cs="Tahoma"/>
          <w:lang w:val="id-ID"/>
        </w:rPr>
        <w:t>NIM/NOM,</w:t>
      </w:r>
      <w:r w:rsidR="00CE55B7">
        <w:rPr>
          <w:rFonts w:ascii="Tahoma" w:hAnsi="Tahoma" w:cs="Tahoma"/>
          <w:lang w:val="id-ID"/>
        </w:rPr>
        <w:t xml:space="preserve"> </w:t>
      </w:r>
      <w:r w:rsidR="009A48AB" w:rsidRPr="00CE55B7">
        <w:rPr>
          <w:rFonts w:ascii="Tahoma" w:hAnsi="Tahoma" w:cs="Tahoma"/>
          <w:lang w:val="id-ID"/>
        </w:rPr>
        <w:t>BOPO,</w:t>
      </w:r>
      <w:r w:rsidR="00CE55B7">
        <w:rPr>
          <w:rFonts w:ascii="Tahoma" w:hAnsi="Tahoma" w:cs="Tahoma"/>
          <w:lang w:val="id-ID"/>
        </w:rPr>
        <w:t xml:space="preserve"> </w:t>
      </w:r>
      <w:r w:rsidR="009A48AB"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="009A48AB"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="009A48AB"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="009A48AB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eastAsia="Times New Roman" w:hAnsi="Tahoma" w:cs="Tahoma"/>
        </w:rPr>
        <w:t xml:space="preserve"> </w:t>
      </w:r>
      <w:r w:rsidR="009A48AB" w:rsidRPr="00CE55B7">
        <w:rPr>
          <w:rFonts w:ascii="Tahoma" w:eastAsia="Times New Roman" w:hAnsi="Tahoma" w:cs="Tahoma"/>
        </w:rPr>
        <w:t>berpengaruh</w:t>
      </w:r>
      <w:r w:rsidR="00CE55B7">
        <w:rPr>
          <w:rFonts w:ascii="Tahoma" w:eastAsia="Times New Roman" w:hAnsi="Tahoma" w:cs="Tahoma"/>
        </w:rPr>
        <w:t xml:space="preserve"> </w:t>
      </w:r>
      <w:r w:rsidR="009A48AB" w:rsidRPr="00CE55B7">
        <w:rPr>
          <w:rFonts w:ascii="Tahoma" w:eastAsia="Times New Roman" w:hAnsi="Tahoma" w:cs="Tahoma"/>
        </w:rPr>
        <w:t>secara</w:t>
      </w:r>
      <w:r w:rsidR="00CE55B7">
        <w:rPr>
          <w:rFonts w:ascii="Tahoma" w:eastAsia="Times New Roman" w:hAnsi="Tahoma" w:cs="Tahoma"/>
        </w:rPr>
        <w:t xml:space="preserve"> </w:t>
      </w:r>
      <w:r w:rsidR="009A48AB" w:rsidRPr="00CE55B7">
        <w:rPr>
          <w:rFonts w:ascii="Tahoma" w:eastAsia="Times New Roman" w:hAnsi="Tahoma" w:cs="Tahoma"/>
        </w:rPr>
        <w:t>bersama-sama</w:t>
      </w:r>
      <w:r w:rsidR="00CE55B7">
        <w:rPr>
          <w:rFonts w:ascii="Tahoma" w:eastAsia="Times New Roman" w:hAnsi="Tahoma" w:cs="Tahoma"/>
        </w:rPr>
        <w:t xml:space="preserve"> </w:t>
      </w:r>
      <w:r w:rsidR="009A48AB" w:rsidRPr="00CE55B7">
        <w:rPr>
          <w:rFonts w:ascii="Tahoma" w:eastAsia="Times New Roman" w:hAnsi="Tahoma" w:cs="Tahoma"/>
        </w:rPr>
        <w:t>terhadap</w:t>
      </w:r>
      <w:r w:rsidR="00CE55B7">
        <w:rPr>
          <w:rFonts w:ascii="Tahoma" w:eastAsia="Times New Roman" w:hAnsi="Tahoma" w:cs="Tahoma"/>
        </w:rPr>
        <w:t xml:space="preserve"> </w:t>
      </w:r>
      <w:r w:rsidR="009A48AB" w:rsidRPr="00CE55B7">
        <w:rPr>
          <w:rFonts w:ascii="Tahoma" w:hAnsi="Tahoma" w:cs="Tahoma"/>
          <w:color w:val="000000"/>
          <w:lang w:val="id-ID"/>
        </w:rPr>
        <w:t>ROA</w:t>
      </w:r>
      <w:r w:rsidR="00CE55B7">
        <w:rPr>
          <w:rFonts w:ascii="Tahoma" w:hAnsi="Tahoma" w:cs="Tahoma"/>
          <w:color w:val="000000"/>
        </w:rPr>
        <w:t xml:space="preserve"> </w:t>
      </w:r>
      <w:r w:rsidR="009A48AB" w:rsidRPr="00CE55B7">
        <w:rPr>
          <w:rFonts w:ascii="Tahoma" w:hAnsi="Tahoma" w:cs="Tahoma"/>
          <w:color w:val="000000"/>
        </w:rPr>
        <w:t>diterima.</w:t>
      </w:r>
      <w:proofErr w:type="gramEnd"/>
    </w:p>
    <w:p w:rsidR="00BB24A4" w:rsidRDefault="00BB24A4" w:rsidP="00BB24A4">
      <w:pPr>
        <w:spacing w:after="0" w:line="240" w:lineRule="auto"/>
        <w:ind w:left="360" w:firstLine="720"/>
        <w:contextualSpacing/>
        <w:jc w:val="both"/>
        <w:rPr>
          <w:rFonts w:ascii="Tahoma" w:hAnsi="Tahoma" w:cs="Tahoma"/>
          <w:color w:val="000000"/>
        </w:rPr>
        <w:sectPr w:rsidR="00BB24A4" w:rsidSect="00BB24A4">
          <w:type w:val="continuous"/>
          <w:pgSz w:w="11906" w:h="16838" w:code="9"/>
          <w:pgMar w:top="1134" w:right="1134" w:bottom="1134" w:left="1134" w:header="709" w:footer="709" w:gutter="0"/>
          <w:cols w:num="2" w:space="282"/>
          <w:docGrid w:linePitch="360"/>
        </w:sectPr>
      </w:pPr>
    </w:p>
    <w:p w:rsidR="00BB24A4" w:rsidRPr="00CE55B7" w:rsidRDefault="00BB24A4" w:rsidP="00BB24A4">
      <w:pPr>
        <w:spacing w:after="0" w:line="240" w:lineRule="auto"/>
        <w:ind w:left="360" w:firstLine="720"/>
        <w:contextualSpacing/>
        <w:jc w:val="both"/>
        <w:rPr>
          <w:rFonts w:ascii="Tahoma" w:hAnsi="Tahoma" w:cs="Tahoma"/>
          <w:color w:val="000000"/>
        </w:rPr>
      </w:pPr>
    </w:p>
    <w:p w:rsidR="00F83928" w:rsidRPr="00CE55B7" w:rsidRDefault="00F83928" w:rsidP="00BB24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lang w:val="id-ID"/>
        </w:rPr>
      </w:pPr>
      <w:r w:rsidRPr="00CE55B7">
        <w:rPr>
          <w:rFonts w:ascii="Tahoma" w:hAnsi="Tahoma" w:cs="Tahoma"/>
          <w:b/>
          <w:lang w:val="id-ID"/>
        </w:rPr>
        <w:t>Uji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t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(Secara</w:t>
      </w:r>
      <w:r w:rsidR="00CE55B7">
        <w:rPr>
          <w:rFonts w:ascii="Tahoma" w:hAnsi="Tahoma" w:cs="Tahoma"/>
          <w:b/>
          <w:lang w:val="id-ID"/>
        </w:rPr>
        <w:t xml:space="preserve"> </w:t>
      </w:r>
      <w:r w:rsidRPr="00CE55B7">
        <w:rPr>
          <w:rFonts w:ascii="Tahoma" w:hAnsi="Tahoma" w:cs="Tahoma"/>
          <w:b/>
          <w:lang w:val="id-ID"/>
        </w:rPr>
        <w:t>Parsial)</w:t>
      </w:r>
    </w:p>
    <w:p w:rsidR="00C7689B" w:rsidRPr="00B33D0B" w:rsidRDefault="00711430" w:rsidP="00BB24A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lang w:val="id-ID"/>
        </w:rPr>
      </w:pPr>
      <w:r w:rsidRPr="00B33D0B">
        <w:rPr>
          <w:rFonts w:ascii="Tahoma" w:hAnsi="Tahoma" w:cs="Tahoma"/>
          <w:lang w:val="id-ID"/>
        </w:rPr>
        <w:t>Tabel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6</w:t>
      </w:r>
    </w:p>
    <w:p w:rsidR="00C7689B" w:rsidRPr="00B33D0B" w:rsidRDefault="00C7689B" w:rsidP="00BB24A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lang w:val="id-ID"/>
        </w:rPr>
      </w:pPr>
      <w:r w:rsidRPr="00B33D0B">
        <w:rPr>
          <w:rFonts w:ascii="Tahoma" w:hAnsi="Tahoma" w:cs="Tahoma"/>
          <w:lang w:val="id-ID"/>
        </w:rPr>
        <w:t>Hasil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Uji</w:t>
      </w:r>
      <w:r w:rsidR="00CE55B7" w:rsidRPr="00B33D0B">
        <w:rPr>
          <w:rFonts w:ascii="Tahoma" w:hAnsi="Tahoma" w:cs="Tahoma"/>
          <w:lang w:val="id-ID"/>
        </w:rPr>
        <w:t xml:space="preserve"> </w:t>
      </w:r>
      <w:r w:rsidRPr="00B33D0B">
        <w:rPr>
          <w:rFonts w:ascii="Tahoma" w:hAnsi="Tahoma" w:cs="Tahoma"/>
          <w:lang w:val="id-ID"/>
        </w:rPr>
        <w:t>t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053"/>
        <w:gridCol w:w="961"/>
        <w:gridCol w:w="1604"/>
        <w:gridCol w:w="2344"/>
        <w:gridCol w:w="800"/>
        <w:gridCol w:w="509"/>
      </w:tblGrid>
      <w:tr w:rsidR="00C7689B" w:rsidRPr="00BB24A4" w:rsidTr="00872AE3">
        <w:trPr>
          <w:cantSplit/>
          <w:trHeight w:val="168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b/>
                <w:bCs/>
                <w:sz w:val="20"/>
              </w:rPr>
              <w:t>Coefficients</w:t>
            </w:r>
            <w:r w:rsidRPr="00BB24A4">
              <w:rPr>
                <w:rFonts w:ascii="Tahoma" w:hAnsi="Tahoma" w:cs="Tahoma"/>
                <w:b/>
                <w:bCs/>
                <w:sz w:val="20"/>
                <w:vertAlign w:val="superscript"/>
              </w:rPr>
              <w:t>a</w:t>
            </w:r>
          </w:p>
        </w:tc>
      </w:tr>
      <w:tr w:rsidR="00C7689B" w:rsidRPr="00BB24A4" w:rsidTr="00872AE3">
        <w:trPr>
          <w:cantSplit/>
          <w:trHeight w:val="327"/>
          <w:jc w:val="center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Unstandardized</w:t>
            </w:r>
            <w:r w:rsidR="00CE55B7" w:rsidRPr="00BB24A4">
              <w:rPr>
                <w:rFonts w:ascii="Tahoma" w:hAnsi="Tahoma" w:cs="Tahoma"/>
                <w:sz w:val="20"/>
              </w:rPr>
              <w:t xml:space="preserve"> </w:t>
            </w:r>
            <w:r w:rsidRPr="00BB24A4">
              <w:rPr>
                <w:rFonts w:ascii="Tahoma" w:hAnsi="Tahoma" w:cs="Tahoma"/>
                <w:sz w:val="20"/>
              </w:rPr>
              <w:t>Coefficients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Standardized</w:t>
            </w:r>
            <w:r w:rsidR="00CE55B7" w:rsidRPr="00BB24A4">
              <w:rPr>
                <w:rFonts w:ascii="Tahoma" w:hAnsi="Tahoma" w:cs="Tahoma"/>
                <w:sz w:val="20"/>
              </w:rPr>
              <w:t xml:space="preserve"> </w:t>
            </w:r>
            <w:r w:rsidRPr="00BB24A4">
              <w:rPr>
                <w:rFonts w:ascii="Tahoma" w:hAnsi="Tahoma" w:cs="Tahoma"/>
                <w:sz w:val="20"/>
              </w:rPr>
              <w:t>Coefficients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sz w:val="20"/>
                <w:lang w:val="id-ID"/>
              </w:rPr>
            </w:pPr>
            <w:r w:rsidRPr="00BB24A4">
              <w:rPr>
                <w:rFonts w:ascii="Tahoma" w:hAnsi="Tahoma" w:cs="Tahoma"/>
                <w:sz w:val="20"/>
                <w:lang w:val="id-ID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Sig.</w:t>
            </w:r>
          </w:p>
        </w:tc>
      </w:tr>
      <w:tr w:rsidR="00C7689B" w:rsidRPr="00BB24A4" w:rsidTr="00872AE3">
        <w:trPr>
          <w:cantSplit/>
          <w:trHeight w:val="9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Std.</w:t>
            </w:r>
            <w:r w:rsidR="00CE55B7" w:rsidRPr="00BB24A4">
              <w:rPr>
                <w:rFonts w:ascii="Tahoma" w:hAnsi="Tahoma" w:cs="Tahoma"/>
                <w:sz w:val="20"/>
              </w:rPr>
              <w:t xml:space="preserve"> </w:t>
            </w:r>
            <w:r w:rsidRPr="00BB24A4">
              <w:rPr>
                <w:rFonts w:ascii="Tahoma" w:hAnsi="Tahoma" w:cs="Tahoma"/>
                <w:sz w:val="20"/>
              </w:rPr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Beta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20"/>
              </w:rPr>
            </w:pPr>
          </w:p>
        </w:tc>
      </w:tr>
      <w:tr w:rsidR="00C7689B" w:rsidRPr="00BB24A4" w:rsidTr="00872AE3">
        <w:trPr>
          <w:cantSplit/>
          <w:trHeight w:val="15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(Constant)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,112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48,267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,000</w:t>
            </w:r>
          </w:p>
        </w:tc>
      </w:tr>
      <w:tr w:rsidR="00C7689B" w:rsidRPr="00BB24A4" w:rsidTr="00872AE3">
        <w:trPr>
          <w:cantSplit/>
          <w:trHeight w:val="9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NPL/NPF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3,112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,002</w:t>
            </w:r>
          </w:p>
        </w:tc>
      </w:tr>
      <w:tr w:rsidR="00C7689B" w:rsidRPr="00BB24A4" w:rsidTr="00872AE3">
        <w:trPr>
          <w:cantSplit/>
          <w:trHeight w:val="9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LDR/FDR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-,133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-10,188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,000</w:t>
            </w:r>
          </w:p>
        </w:tc>
      </w:tr>
      <w:tr w:rsidR="00C7689B" w:rsidRPr="00BB24A4" w:rsidTr="00872AE3">
        <w:trPr>
          <w:cantSplit/>
          <w:trHeight w:val="9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GCG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-,034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-2,752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,007</w:t>
            </w:r>
          </w:p>
        </w:tc>
      </w:tr>
      <w:tr w:rsidR="00C7689B" w:rsidRPr="00BB24A4" w:rsidTr="00872AE3">
        <w:trPr>
          <w:cantSplit/>
          <w:trHeight w:val="9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NIM/NOM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5,612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,000</w:t>
            </w:r>
          </w:p>
        </w:tc>
      </w:tr>
      <w:tr w:rsidR="00C7689B" w:rsidRPr="00BB24A4" w:rsidTr="00872AE3">
        <w:trPr>
          <w:cantSplit/>
          <w:trHeight w:val="9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BOPO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-,102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-1,029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-59,614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,000</w:t>
            </w:r>
          </w:p>
        </w:tc>
      </w:tr>
      <w:tr w:rsidR="00C7689B" w:rsidRPr="00BB24A4" w:rsidTr="00872AE3">
        <w:trPr>
          <w:cantSplit/>
          <w:trHeight w:val="9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-,293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,770</w:t>
            </w:r>
          </w:p>
        </w:tc>
      </w:tr>
      <w:tr w:rsidR="00C7689B" w:rsidRPr="00BB24A4" w:rsidTr="00872AE3">
        <w:trPr>
          <w:cantSplit/>
          <w:trHeight w:val="9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Jenis</w:t>
            </w:r>
            <w:r w:rsidR="00CE55B7" w:rsidRPr="00BB24A4">
              <w:rPr>
                <w:rFonts w:ascii="Tahoma" w:hAnsi="Tahoma" w:cs="Tahoma"/>
                <w:sz w:val="20"/>
              </w:rPr>
              <w:t xml:space="preserve"> </w:t>
            </w:r>
            <w:r w:rsidRPr="00BB24A4">
              <w:rPr>
                <w:rFonts w:ascii="Tahoma" w:hAnsi="Tahoma" w:cs="Tahoma"/>
                <w:sz w:val="20"/>
              </w:rPr>
              <w:t>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-1,990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,048</w:t>
            </w:r>
          </w:p>
        </w:tc>
      </w:tr>
      <w:tr w:rsidR="00C7689B" w:rsidRPr="00BB24A4" w:rsidTr="00872AE3">
        <w:trPr>
          <w:cantSplit/>
          <w:trHeight w:val="158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689B" w:rsidRPr="00BB24A4" w:rsidRDefault="00C7689B" w:rsidP="00BB24A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Tahoma" w:hAnsi="Tahoma" w:cs="Tahoma"/>
                <w:sz w:val="20"/>
              </w:rPr>
            </w:pPr>
            <w:r w:rsidRPr="00BB24A4">
              <w:rPr>
                <w:rFonts w:ascii="Tahoma" w:hAnsi="Tahoma" w:cs="Tahoma"/>
                <w:sz w:val="20"/>
              </w:rPr>
              <w:t>a.</w:t>
            </w:r>
            <w:r w:rsidR="00CE55B7" w:rsidRPr="00BB24A4">
              <w:rPr>
                <w:rFonts w:ascii="Tahoma" w:hAnsi="Tahoma" w:cs="Tahoma"/>
                <w:sz w:val="20"/>
              </w:rPr>
              <w:t xml:space="preserve"> </w:t>
            </w:r>
            <w:r w:rsidRPr="00BB24A4">
              <w:rPr>
                <w:rFonts w:ascii="Tahoma" w:hAnsi="Tahoma" w:cs="Tahoma"/>
                <w:sz w:val="20"/>
              </w:rPr>
              <w:t>Dependent</w:t>
            </w:r>
            <w:r w:rsidR="00CE55B7" w:rsidRPr="00BB24A4">
              <w:rPr>
                <w:rFonts w:ascii="Tahoma" w:hAnsi="Tahoma" w:cs="Tahoma"/>
                <w:sz w:val="20"/>
              </w:rPr>
              <w:t xml:space="preserve"> </w:t>
            </w:r>
            <w:r w:rsidRPr="00BB24A4">
              <w:rPr>
                <w:rFonts w:ascii="Tahoma" w:hAnsi="Tahoma" w:cs="Tahoma"/>
                <w:sz w:val="20"/>
              </w:rPr>
              <w:t>Variable:</w:t>
            </w:r>
            <w:r w:rsidR="00CE55B7" w:rsidRPr="00BB24A4">
              <w:rPr>
                <w:rFonts w:ascii="Tahoma" w:hAnsi="Tahoma" w:cs="Tahoma"/>
                <w:sz w:val="20"/>
              </w:rPr>
              <w:t xml:space="preserve"> </w:t>
            </w:r>
            <w:r w:rsidRPr="00BB24A4">
              <w:rPr>
                <w:rFonts w:ascii="Tahoma" w:hAnsi="Tahoma" w:cs="Tahoma"/>
                <w:sz w:val="20"/>
              </w:rPr>
              <w:t>ROA</w:t>
            </w:r>
          </w:p>
        </w:tc>
      </w:tr>
    </w:tbl>
    <w:p w:rsidR="00F83928" w:rsidRPr="00CE55B7" w:rsidRDefault="00C7689B" w:rsidP="00BB24A4">
      <w:pPr>
        <w:pStyle w:val="ListParagraph"/>
        <w:spacing w:after="0" w:line="240" w:lineRule="auto"/>
        <w:ind w:left="360"/>
        <w:rPr>
          <w:rFonts w:ascii="Tahoma" w:hAnsi="Tahoma" w:cs="Tahoma"/>
          <w:i/>
          <w:lang w:val="id-ID"/>
        </w:rPr>
      </w:pPr>
      <w:r w:rsidRPr="00CE55B7">
        <w:rPr>
          <w:rFonts w:ascii="Tahoma" w:hAnsi="Tahoma" w:cs="Tahoma"/>
          <w:i/>
          <w:lang w:val="id-ID"/>
        </w:rPr>
        <w:t>Sumber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: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Hasil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Output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SPSS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(Data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Diolah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Peneliti,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i/>
          <w:lang w:val="id-ID"/>
        </w:rPr>
        <w:t>2018)</w:t>
      </w:r>
    </w:p>
    <w:p w:rsidR="00BB24A4" w:rsidRDefault="00BB24A4" w:rsidP="00BB24A4">
      <w:pPr>
        <w:spacing w:after="0" w:line="240" w:lineRule="auto"/>
        <w:contextualSpacing/>
        <w:jc w:val="both"/>
        <w:rPr>
          <w:rFonts w:ascii="Tahoma" w:hAnsi="Tahoma" w:cs="Tahoma"/>
          <w:lang w:val="id-ID"/>
        </w:rPr>
        <w:sectPr w:rsidR="00BB24A4" w:rsidSect="009E3B0A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7689B" w:rsidRPr="00CE55B7" w:rsidRDefault="00C7689B" w:rsidP="00BB24A4">
      <w:pPr>
        <w:spacing w:after="0" w:line="240" w:lineRule="auto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lastRenderedPageBreak/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5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atas,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maka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dijelaskan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bahwa:</w:t>
      </w:r>
    </w:p>
    <w:p w:rsidR="00C7689B" w:rsidRPr="00CE55B7" w:rsidRDefault="00C7689B" w:rsidP="00BB24A4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</w:rPr>
      </w:pPr>
      <w:r w:rsidRPr="00CE55B7">
        <w:rPr>
          <w:rFonts w:ascii="Tahoma" w:hAnsi="Tahoma" w:cs="Tahoma"/>
        </w:rPr>
        <w:lastRenderedPageBreak/>
        <w:t>Pengujian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Hipotesis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</w:rPr>
        <w:t>2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:</w:t>
      </w:r>
      <w:proofErr w:type="gramEnd"/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ROA.</w:t>
      </w:r>
    </w:p>
    <w:p w:rsidR="00C7689B" w:rsidRPr="00CE55B7" w:rsidRDefault="00C7689B" w:rsidP="00BB24A4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</w:rPr>
      </w:pP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0,037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0,002.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memiliki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karena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signifikansinya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0,002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kecil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0,05.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demikian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hipotesis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menyatakan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NPL/NPF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ditolak.</w:t>
      </w:r>
    </w:p>
    <w:p w:rsidR="00C7689B" w:rsidRPr="00CE55B7" w:rsidRDefault="00C7689B" w:rsidP="00BB24A4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</w:rPr>
      </w:pPr>
      <w:r w:rsidRPr="00CE55B7">
        <w:rPr>
          <w:rFonts w:ascii="Tahoma" w:hAnsi="Tahoma" w:cs="Tahoma"/>
        </w:rPr>
        <w:t>Pengujian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Hipotesis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  <w:lang w:val="id-ID"/>
        </w:rPr>
        <w:t>3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:</w:t>
      </w:r>
      <w:proofErr w:type="gramEnd"/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LDR/FDR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ROA.</w:t>
      </w:r>
    </w:p>
    <w:p w:rsidR="00C7689B" w:rsidRPr="00CE55B7" w:rsidRDefault="00C7689B" w:rsidP="00BB24A4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</w:rPr>
      </w:pP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LDR/FDR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-0,011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0,000.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LDR/FDR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memiliki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karena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signifikansinya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0,000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kecil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0,05.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demikian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hipotesis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menyatakan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LDR/FDR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ditolak.</w:t>
      </w:r>
    </w:p>
    <w:p w:rsidR="00C7689B" w:rsidRPr="00CE55B7" w:rsidRDefault="00C7689B" w:rsidP="00BB24A4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</w:rPr>
      </w:pPr>
      <w:r w:rsidRPr="00CE55B7">
        <w:rPr>
          <w:rFonts w:ascii="Tahoma" w:hAnsi="Tahoma" w:cs="Tahoma"/>
        </w:rPr>
        <w:t>Pengujian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Hipotesis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  <w:lang w:val="id-ID"/>
        </w:rPr>
        <w:t>4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:</w:t>
      </w:r>
      <w:proofErr w:type="gramEnd"/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ROA.</w:t>
      </w:r>
    </w:p>
    <w:p w:rsidR="00C7689B" w:rsidRPr="00CE55B7" w:rsidRDefault="00C7689B" w:rsidP="00BB24A4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</w:rPr>
      </w:pP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-0,004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0,007.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memiliki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karena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signifikansinya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0,007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kecil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0,05.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demikian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hipotesis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menyatakan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GCG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ditolak.</w:t>
      </w:r>
    </w:p>
    <w:p w:rsidR="00C7689B" w:rsidRPr="00CE55B7" w:rsidRDefault="00C7689B" w:rsidP="00BB24A4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</w:rPr>
      </w:pPr>
      <w:r w:rsidRPr="00CE55B7">
        <w:rPr>
          <w:rFonts w:ascii="Tahoma" w:hAnsi="Tahoma" w:cs="Tahoma"/>
        </w:rPr>
        <w:t>Pengujian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Hipotesis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  <w:lang w:val="id-ID"/>
        </w:rPr>
        <w:t>5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:</w:t>
      </w:r>
      <w:proofErr w:type="gramEnd"/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ROA.</w:t>
      </w:r>
    </w:p>
    <w:p w:rsidR="00C7689B" w:rsidRPr="00CE55B7" w:rsidRDefault="00C7689B" w:rsidP="00BB24A4">
      <w:pPr>
        <w:spacing w:after="0" w:line="240" w:lineRule="auto"/>
        <w:ind w:left="426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0,052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0,000.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memiliki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karena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signifikansinya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0,000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kecil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0,05.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demikian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hipotesis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menyatakan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NIM/NOM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diterima.</w:t>
      </w:r>
    </w:p>
    <w:p w:rsidR="00C7689B" w:rsidRPr="00CE55B7" w:rsidRDefault="00C7689B" w:rsidP="00BB24A4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</w:rPr>
      </w:pPr>
      <w:r w:rsidRPr="00CE55B7">
        <w:rPr>
          <w:rFonts w:ascii="Tahoma" w:hAnsi="Tahoma" w:cs="Tahoma"/>
        </w:rPr>
        <w:lastRenderedPageBreak/>
        <w:t>Pengujian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Hipotesis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  <w:lang w:val="id-ID"/>
        </w:rPr>
        <w:t>6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:</w:t>
      </w:r>
      <w:proofErr w:type="gramEnd"/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ROA.</w:t>
      </w:r>
    </w:p>
    <w:p w:rsidR="00C7689B" w:rsidRPr="00CE55B7" w:rsidRDefault="00C7689B" w:rsidP="00BB24A4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</w:rPr>
      </w:pP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-0,102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0,000.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memiliki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karena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signifikansinya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0,000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kecil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0,05.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demikian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hipotesis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menyatakan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BOPO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diterima.</w:t>
      </w:r>
    </w:p>
    <w:p w:rsidR="00C7689B" w:rsidRPr="00CE55B7" w:rsidRDefault="00C7689B" w:rsidP="00BB24A4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</w:rPr>
      </w:pPr>
      <w:r w:rsidRPr="00CE55B7">
        <w:rPr>
          <w:rFonts w:ascii="Tahoma" w:hAnsi="Tahoma" w:cs="Tahoma"/>
        </w:rPr>
        <w:t>Pengujian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Hipotesis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  <w:lang w:val="id-ID"/>
        </w:rPr>
        <w:t>7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:</w:t>
      </w:r>
      <w:proofErr w:type="gramEnd"/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ROA.</w:t>
      </w:r>
    </w:p>
    <w:p w:rsidR="00C7689B" w:rsidRPr="00CE55B7" w:rsidRDefault="00C7689B" w:rsidP="00BB24A4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</w:rPr>
      </w:pP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-0,001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0,770.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memiliki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namun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karena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signifikansinya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0,770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0,05.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demikian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hipotesis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menyatakan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diterima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(ditolak).</w:t>
      </w:r>
    </w:p>
    <w:p w:rsidR="00882D81" w:rsidRPr="00CE55B7" w:rsidRDefault="00C7689B" w:rsidP="00BB24A4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</w:rPr>
      </w:pPr>
      <w:r w:rsidRPr="00CE55B7">
        <w:rPr>
          <w:rFonts w:ascii="Tahoma" w:hAnsi="Tahoma" w:cs="Tahoma"/>
        </w:rPr>
        <w:t>Pengujian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Hipotesis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  <w:lang w:val="id-ID"/>
        </w:rPr>
        <w:t>8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:</w:t>
      </w:r>
      <w:proofErr w:type="gramEnd"/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Diduga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syariah.</w:t>
      </w:r>
    </w:p>
    <w:p w:rsidR="00041084" w:rsidRPr="00CE55B7" w:rsidRDefault="00C7689B" w:rsidP="00BB24A4">
      <w:pPr>
        <w:spacing w:after="0" w:line="240" w:lineRule="auto"/>
        <w:ind w:left="426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diperoleh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koefisien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regresi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-0,001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nilai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signifikansi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sebesar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0,048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&lt;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0,05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berarti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variabel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(dummy)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menunjukkan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rendah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baik)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dibandingkan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demikian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hipotesis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menyatakan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bahwa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daripada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syariah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diterima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(ditolak).</w:t>
      </w:r>
      <w:r w:rsidR="00CE55B7">
        <w:rPr>
          <w:rFonts w:ascii="Tahoma" w:hAnsi="Tahoma" w:cs="Tahoma"/>
          <w:lang w:val="id-ID"/>
        </w:rPr>
        <w:t xml:space="preserve"> </w:t>
      </w:r>
    </w:p>
    <w:p w:rsidR="00BB24A4" w:rsidRDefault="00BB24A4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</w:p>
    <w:p w:rsidR="00882D81" w:rsidRPr="00D0595A" w:rsidRDefault="00BB24A4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lang w:val="id-ID"/>
        </w:rPr>
      </w:pPr>
      <w:r w:rsidRPr="00D0595A">
        <w:rPr>
          <w:rFonts w:ascii="Tahoma" w:eastAsia="Times New Roman" w:hAnsi="Tahoma" w:cs="Tahoma"/>
          <w:b/>
          <w:sz w:val="24"/>
        </w:rPr>
        <w:t xml:space="preserve">Hasil dan </w:t>
      </w:r>
      <w:r w:rsidR="00882D81" w:rsidRPr="00D0595A">
        <w:rPr>
          <w:rFonts w:ascii="Tahoma" w:eastAsia="Times New Roman" w:hAnsi="Tahoma" w:cs="Tahoma"/>
          <w:b/>
          <w:sz w:val="24"/>
          <w:lang w:val="id-ID"/>
        </w:rPr>
        <w:t>Pembahasan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lang w:val="id-ID"/>
        </w:rPr>
      </w:pPr>
      <w:r w:rsidRPr="00CE55B7">
        <w:rPr>
          <w:rFonts w:ascii="Tahoma" w:eastAsia="Times New Roman" w:hAnsi="Tahoma" w:cs="Tahoma"/>
          <w:b/>
          <w:lang w:val="id-ID"/>
        </w:rPr>
        <w:t>Pengaruh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NPL/NPF,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LDR/FDR,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GCG,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NIM/NOM,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CAR,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BOPO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dan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Jenis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Bank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terhadap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ROA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lang w:val="id-ID"/>
        </w:rPr>
      </w:pPr>
      <w:r w:rsidRPr="00CE55B7">
        <w:rPr>
          <w:rFonts w:ascii="Tahoma" w:eastAsia="Times New Roman" w:hAnsi="Tahoma" w:cs="Tahoma"/>
          <w:b/>
          <w:lang w:val="id-ID"/>
        </w:rPr>
        <w:tab/>
      </w:r>
      <w:r w:rsidRPr="00CE55B7">
        <w:rPr>
          <w:rFonts w:ascii="Tahoma" w:eastAsia="Times New Roman" w:hAnsi="Tahoma" w:cs="Tahoma"/>
          <w:lang w:val="id-ID"/>
        </w:rPr>
        <w:t>Variabel-variabel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independen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digunakan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menggambarkan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aspek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aspek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penilaian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tingkat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kesehatan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metode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RGEC,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terdiri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profil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risiko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diukur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NPL/NPF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LDR/FDR,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lastRenderedPageBreak/>
        <w:t>pelaksanaan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diukur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IPCG,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earning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rentabilitas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diukur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NIM/NOM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dancapital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permodalan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diukur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serta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jenis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aspek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aspek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faktor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RGEC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jenis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profitabilitas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berarti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sisi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penanganan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risiko,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pelaksanaan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rentabilitas,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permodalan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profitabilitas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sehingga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laba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tinggi.</w:t>
      </w:r>
    </w:p>
    <w:p w:rsidR="00BB24A4" w:rsidRDefault="00BB24A4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lang w:val="id-ID"/>
        </w:rPr>
      </w:pPr>
      <w:r w:rsidRPr="00CE55B7">
        <w:rPr>
          <w:rFonts w:ascii="Tahoma" w:eastAsia="Times New Roman" w:hAnsi="Tahoma" w:cs="Tahoma"/>
          <w:b/>
          <w:lang w:val="id-ID"/>
        </w:rPr>
        <w:t>Pengaruh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NPL/NPF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terhadap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ROA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NPL/NPF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positif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signifikan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terdaftar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Otoritas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Jasa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2012-2016.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Berdasarkan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NPL/NPF,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Sebaliknya,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menurunnya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NPL/NPF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menurun.Hal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sejalan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hipotesis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dibangun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terdahulu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(2013),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Iskandar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Laila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(2106)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serta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Sabir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M.,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Ali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Habbe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(2012)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NPL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negatif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signifikan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ROA.</w:t>
      </w:r>
      <w:r w:rsidR="00CE55B7">
        <w:rPr>
          <w:rFonts w:ascii="Tahoma" w:eastAsia="Times New Roman" w:hAnsi="Tahoma" w:cs="Tahoma"/>
          <w:lang w:val="id-ID"/>
        </w:rPr>
        <w:t xml:space="preserve"> 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Berpengaruhnya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NPL/NPF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menandakan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besar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perusahaan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perbankan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melakukan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operasionalnya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terutama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pencairan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kredit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berarti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bertambahnya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risiko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muncul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akibat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kompleksnya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kegiatan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perbankan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adalah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munculnya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NPL/NPF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besar.</w:t>
      </w:r>
      <w:r w:rsidR="00BB24A4">
        <w:rPr>
          <w:rFonts w:ascii="Tahoma" w:eastAsia="Times New Roman" w:hAnsi="Tahoma" w:cs="Tahoma"/>
        </w:rPr>
        <w:t xml:space="preserve"> </w:t>
      </w:r>
      <w:r w:rsidR="00876497" w:rsidRPr="00CE55B7">
        <w:rPr>
          <w:rFonts w:ascii="Tahoma" w:eastAsia="Times New Roman" w:hAnsi="Tahoma" w:cs="Tahoma"/>
        </w:rPr>
        <w:t>Kondisi</w:t>
      </w:r>
      <w:r w:rsidR="00CE55B7">
        <w:rPr>
          <w:rFonts w:ascii="Tahoma" w:eastAsia="Times New Roman" w:hAnsi="Tahoma" w:cs="Tahoma"/>
        </w:rPr>
        <w:t xml:space="preserve"> </w:t>
      </w:r>
      <w:r w:rsidR="00876497" w:rsidRPr="00CE55B7">
        <w:rPr>
          <w:rFonts w:ascii="Tahoma" w:eastAsia="Times New Roman" w:hAnsi="Tahoma" w:cs="Tahoma"/>
        </w:rPr>
        <w:t>ini</w:t>
      </w:r>
      <w:r w:rsidR="00CE55B7">
        <w:rPr>
          <w:rFonts w:ascii="Tahoma" w:eastAsia="Times New Roman" w:hAnsi="Tahoma" w:cs="Tahoma"/>
        </w:rPr>
        <w:t xml:space="preserve"> </w:t>
      </w:r>
      <w:r w:rsidR="00876497" w:rsidRPr="00CE55B7">
        <w:rPr>
          <w:rFonts w:ascii="Tahoma" w:eastAsia="Times New Roman" w:hAnsi="Tahoma" w:cs="Tahoma"/>
        </w:rPr>
        <w:t>bertentangan</w:t>
      </w:r>
      <w:r w:rsidR="00CE55B7">
        <w:rPr>
          <w:rFonts w:ascii="Tahoma" w:eastAsia="Times New Roman" w:hAnsi="Tahoma" w:cs="Tahoma"/>
        </w:rPr>
        <w:t xml:space="preserve"> </w:t>
      </w:r>
      <w:r w:rsidR="00876497" w:rsidRPr="00CE55B7">
        <w:rPr>
          <w:rFonts w:ascii="Tahoma" w:eastAsia="Times New Roman" w:hAnsi="Tahoma" w:cs="Tahoma"/>
        </w:rPr>
        <w:t>dengan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yang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seharusnya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hal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ini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menunjukkan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bahwa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pendapatanb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perbankan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di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Indonesia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sangat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tergantung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dari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  <w:i/>
        </w:rPr>
        <w:t>spread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bunga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pinjaman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dan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bunga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simpanan.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Tingginya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NPL/NPF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menunjukkan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bahawa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perbankan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memaksimalkan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pendapatan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dengan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menaikkan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suku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bunga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pinjaman,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tetapi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kebijakan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ini</w:t>
      </w:r>
      <w:r w:rsidR="00CE55B7">
        <w:rPr>
          <w:rFonts w:ascii="Tahoma" w:eastAsia="Times New Roman" w:hAnsi="Tahoma" w:cs="Tahoma"/>
        </w:rPr>
        <w:t xml:space="preserve"> </w:t>
      </w:r>
      <w:proofErr w:type="gramStart"/>
      <w:r w:rsidR="00D82894" w:rsidRPr="00CE55B7">
        <w:rPr>
          <w:rFonts w:ascii="Tahoma" w:eastAsia="Times New Roman" w:hAnsi="Tahoma" w:cs="Tahoma"/>
        </w:rPr>
        <w:t>akan</w:t>
      </w:r>
      <w:proofErr w:type="gramEnd"/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sangat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beresiko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di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masa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depan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karena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semakin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tinggi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pinjaman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yang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dilakukan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ke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pihak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ketiga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maka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akan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menyebabkan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resiko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menjadi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semakin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besar.</w:t>
      </w:r>
      <w:r w:rsidR="00CE55B7">
        <w:rPr>
          <w:rFonts w:ascii="Tahoma" w:eastAsia="Times New Roman" w:hAnsi="Tahoma" w:cs="Tahoma"/>
        </w:rPr>
        <w:t xml:space="preserve"> 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</w:r>
      <w:proofErr w:type="gramStart"/>
      <w:r w:rsidR="00D82894" w:rsidRPr="00CE55B7">
        <w:rPr>
          <w:rFonts w:ascii="Tahoma" w:eastAsia="Times New Roman" w:hAnsi="Tahoma" w:cs="Tahoma"/>
        </w:rPr>
        <w:t>Untuk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medngantisipasi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hal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ini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Bank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Indonesia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sebagai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regulator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telah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mengeluarkan</w:t>
      </w:r>
      <w:r w:rsidR="00CE55B7">
        <w:rPr>
          <w:rFonts w:ascii="Tahoma" w:eastAsia="Times New Roman" w:hAnsi="Tahoma" w:cs="Tahoma"/>
        </w:rPr>
        <w:t xml:space="preserve"> </w:t>
      </w:r>
      <w:r w:rsidR="00D82894" w:rsidRPr="00CE55B7">
        <w:rPr>
          <w:rFonts w:ascii="Tahoma" w:eastAsia="Times New Roman" w:hAnsi="Tahoma" w:cs="Tahoma"/>
        </w:rPr>
        <w:t>peraturan</w:t>
      </w:r>
      <w:r w:rsidR="00CE55B7">
        <w:rPr>
          <w:rFonts w:ascii="Tahoma" w:eastAsia="Times New Roman" w:hAnsi="Tahoma" w:cs="Tahoma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PBI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15/2/PBI/2013,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standar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NPL/NPF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lebih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5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%.</w:t>
      </w:r>
      <w:proofErr w:type="gramEnd"/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Selama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2012-2016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besarnya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NPL/NPF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lastRenderedPageBreak/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maupun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lebih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banyak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bawah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ditentukan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kebanyakan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sudah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dapat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mengelola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risiko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kredit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macetnya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baik.</w:t>
      </w:r>
    </w:p>
    <w:p w:rsidR="00BB24A4" w:rsidRDefault="00BB24A4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lang w:val="id-ID"/>
        </w:rPr>
      </w:pPr>
      <w:r w:rsidRPr="00CE55B7">
        <w:rPr>
          <w:rFonts w:ascii="Tahoma" w:eastAsia="Times New Roman" w:hAnsi="Tahoma" w:cs="Tahoma"/>
          <w:b/>
          <w:lang w:val="id-ID"/>
        </w:rPr>
        <w:t>Pengaruh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LDR/FDR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terhadap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ROA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LDR/FDR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negatif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signifikan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terdaftar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Otoritas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Jasa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2012-2016.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Berdasarkan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LDR/FDR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menurun.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Sebaliknya,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menurunnya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LDR/FDR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bertolak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belakang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teori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hipotesis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dibangun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serta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bertentangan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Harun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(2016),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Ash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Shidieq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Yuliandari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(2015),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Margaretha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Zai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(2013),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serta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Iskandar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Laila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(2016)yang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menyatakan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secara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parsial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variabel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LDR/FDR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positif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Namun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sejalan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Sabir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M.,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Ali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Habbe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(2012)</w:t>
      </w:r>
      <w:r w:rsidR="00BB24A4">
        <w:rPr>
          <w:rFonts w:ascii="Tahoma" w:eastAsia="Times New Roman" w:hAnsi="Tahoma" w:cs="Tahoma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negatif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signifikan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Namun</w:t>
      </w:r>
      <w:r w:rsidR="00CE55B7">
        <w:rPr>
          <w:rFonts w:ascii="Tahoma" w:eastAsia="Times New Roman" w:hAnsi="Tahoma" w:cs="Tahoma"/>
          <w:lang w:val="id-ID"/>
        </w:rPr>
        <w:t xml:space="preserve"> 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LDR/FDR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seberapa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kemampuan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membayar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kembali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penarikan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dilakukan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deposan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mengandalkan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kredit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diberikan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sebagai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sumber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likuiditasnya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(Dendawijaya,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2003).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kata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lain,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seberapa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pemberian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kredit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nasabah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kredit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dapat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mengimbangi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kewajiban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segera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memenuhi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permintaan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deposan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ingin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menarik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kembali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uangnya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digunakan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memberikan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kredit.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tinggi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rasio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LDR/FDR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memberikan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indikasi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rendahnya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kemampuan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likuiditas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bersangkutan.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karena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itu,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rendah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tingkat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likuiditas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tersebut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perusahaan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menurun.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Selain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itu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LDR/FDR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menimbulkan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biaya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bagi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biaya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mengurangi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laba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keuntungan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diperoleh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itu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sendiri,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sehingga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merupakan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suatu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keharusan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menjaga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rasio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LDR/FDR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tingkat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aman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(sesuai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ditetapkan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85%-110%).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optimalnya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LDR/FDR,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kegiatan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lastRenderedPageBreak/>
        <w:t>usahanya,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selalu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memperoleh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keuntungan.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</w:rPr>
      </w:pPr>
      <w:r w:rsidRPr="00CE55B7">
        <w:rPr>
          <w:rFonts w:ascii="Tahoma" w:eastAsia="Times New Roman" w:hAnsi="Tahoma" w:cs="Tahoma"/>
          <w:lang w:val="id-ID"/>
        </w:rPr>
        <w:tab/>
        <w:t>Berdasarkan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ketentuan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15/2/PBI/2013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tanggal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Oktober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2013,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angka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seharusnya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sekitar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85-110%.Selama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2012-2016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besarnya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LDR/FDR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maupun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persentase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terbanyak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yaitu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antara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85%-110%.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penyaluran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kredit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dilakukan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rata-rata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sudah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efektif.</w:t>
      </w:r>
    </w:p>
    <w:p w:rsidR="00BB24A4" w:rsidRDefault="00BB24A4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lang w:val="id-ID"/>
        </w:rPr>
      </w:pPr>
      <w:r w:rsidRPr="00CE55B7">
        <w:rPr>
          <w:rFonts w:ascii="Tahoma" w:eastAsia="Times New Roman" w:hAnsi="Tahoma" w:cs="Tahoma"/>
          <w:b/>
          <w:lang w:val="id-ID"/>
        </w:rPr>
        <w:t>Pengaruh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GCG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terhadap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ROA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negatif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signifikan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terdaftar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Otoritas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Jasa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2012-2016.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Berdasarkan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menurun.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Sebaliknya,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menurunnya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</w:t>
      </w:r>
      <w:r w:rsidR="00D82894" w:rsidRPr="00CE55B7">
        <w:rPr>
          <w:rFonts w:ascii="Tahoma" w:eastAsia="Times New Roman" w:hAnsi="Tahoma" w:cs="Tahoma"/>
          <w:lang w:val="id-ID"/>
        </w:rPr>
        <w:t>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D82894"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D82894"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D82894" w:rsidRPr="00CE55B7">
        <w:rPr>
          <w:rFonts w:ascii="Tahoma" w:eastAsia="Times New Roman" w:hAnsi="Tahoma" w:cs="Tahoma"/>
          <w:lang w:val="id-ID"/>
        </w:rPr>
        <w:t>meningkat.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tersebut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berbeda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teori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sudah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pelaksanaan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sebuah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manajemen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tersebut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memperoleh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laba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(Witjaksono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Nathalia,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2014).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relevan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teori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World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(Tangkilisan,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2003)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menyatakan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dapat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mendorong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sumber-sumber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perusahaan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agar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bekerja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secara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efisien,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ekonomi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jangka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panjang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berkesinambungan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bagi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para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pemegang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saham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maupun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masyarakat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sekitar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secara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luas.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Teori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secara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langsung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menyatakan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positif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perusahaan.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perusahaan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dapat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dilihat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profitabilitasnya,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return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asset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merupakan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satu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rasio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profitabilitas.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bertentangan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dilakukan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Tjondro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Wilopo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(2011)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menyatakan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positif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profitabilitas.</w:t>
      </w:r>
      <w:r w:rsidR="00CE55B7">
        <w:rPr>
          <w:rFonts w:ascii="Tahoma" w:eastAsia="Times New Roman" w:hAnsi="Tahoma" w:cs="Tahoma"/>
          <w:lang w:val="id-ID"/>
        </w:rPr>
        <w:t xml:space="preserve"> 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Namun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demikian,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sejalan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dilakukan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Shidieq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Yuliandari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(2015)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menyatakan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penerapan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negatif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signifikan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mendukung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argumen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Yermack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(1996),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Sundregan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Wells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(1998),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Jensen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(1993),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menyatakan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“semakin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banyak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personil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menjadi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dewan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komisaris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lastRenderedPageBreak/>
        <w:t>merupakan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satu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aspek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penerapan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dapat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berakibat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buruk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dimiliki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perusahaan”.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tersebut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dikarenakan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banyaknya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anggota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dewan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komisaris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mengalami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kesulitan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menjalankan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perannya,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diantaranya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kesulitan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menjalankan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komunikasi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koordinasi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antar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anggota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dewan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komisaris.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Selain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itu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negatif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profitabilitas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disebabkan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karena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faktor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waktu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pengamatan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relatif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singkat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menimbang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bertujuan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jangka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panjang</w:t>
      </w:r>
    </w:p>
    <w:p w:rsidR="00BB24A4" w:rsidRDefault="00BB24A4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lang w:val="id-ID"/>
        </w:rPr>
      </w:pPr>
      <w:r w:rsidRPr="00CE55B7">
        <w:rPr>
          <w:rFonts w:ascii="Tahoma" w:eastAsia="Times New Roman" w:hAnsi="Tahoma" w:cs="Tahoma"/>
          <w:b/>
          <w:lang w:val="id-ID"/>
        </w:rPr>
        <w:t>Pengaruh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NIM/NOM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terhadap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ROA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NIM/NOM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positif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signifikan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terdaftar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Otoritas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Jasa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2012-2016.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Berdasarkan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NIM/NOM,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Sebaliknya,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menurunnya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NIM/NOM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menurun.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temuan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mendukung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Hasdillah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(2017),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Margaretha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Zai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(2013),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(2013),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serta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SabirM,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Ali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Habbe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(2012)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dimana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berarti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kemampuan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manajemen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bunga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bersih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tingkat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pendapatan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total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asetnya.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Jika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manajemen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melakukan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tindakan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berhati-hati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dalammemberikan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kredit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kualitas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aktiva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produktifnya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tetap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terjaga.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kualitas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kredit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bagus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dapat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pendapatan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bunga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bersih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sehingga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akhirnya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laba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bank.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Pendapatan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bunga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bersih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tinggi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mengakibatkan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laba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sebelum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pajak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sehingga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bertambah.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Bunga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bersih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merupakan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satu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komponen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pembentuk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laba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(pendapatan),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karena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laba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merupakan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komponen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pembentuk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Return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Asset.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Jika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pendapatan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bunga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bersih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laba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sehingga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tersebut.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NIM/NOM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suatu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sangat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sehat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bila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memiliki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NIM/NOM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diatas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5%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sedangkan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dikatakan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sehat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apabila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posisi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2%-</w:t>
      </w:r>
      <w:r w:rsidRPr="00CE55B7">
        <w:rPr>
          <w:rFonts w:ascii="Tahoma" w:eastAsia="Times New Roman" w:hAnsi="Tahoma" w:cs="Tahoma"/>
          <w:lang w:val="id-ID"/>
        </w:rPr>
        <w:lastRenderedPageBreak/>
        <w:t>5%,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dibawah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2%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masuk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kategori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cukup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sehat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hingga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sehat.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Selama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2012-2016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besarnya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persentase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terbanyak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antara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2%-5%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merupakan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ketentuan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kemampuan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mengahasilkan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keuntungan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aktiva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produktifnya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sudah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cukup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bagus.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Sedangkan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rata-rata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bawah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2%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kemampuannya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keuntungan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aktifa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produktif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belum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cukup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baik.</w:t>
      </w:r>
    </w:p>
    <w:p w:rsidR="00BB24A4" w:rsidRDefault="00BB24A4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lang w:val="id-ID"/>
        </w:rPr>
      </w:pPr>
      <w:r w:rsidRPr="00CE55B7">
        <w:rPr>
          <w:rFonts w:ascii="Tahoma" w:eastAsia="Times New Roman" w:hAnsi="Tahoma" w:cs="Tahoma"/>
          <w:b/>
          <w:lang w:val="id-ID"/>
        </w:rPr>
        <w:t>Pengaruh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BOPO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terhadap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ROA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negatif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signifikan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terdaftar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Otoritas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Jasa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2012-2016.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Berdasarkan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menurun.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Sebaliknya,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menurunnya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meningkat.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Hal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sejalan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Margaretha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Zai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(2013)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Dewi,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Arifati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Andini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(2016)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dimana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jika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diperoleh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menurun.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Hubungan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negatif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antara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variabel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independen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variabel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dependen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sesuai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teori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mendasarinya,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dimana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kecil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efisien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menjalankan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kegiatan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usahanya,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sehingga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efisiennya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berkesempatanuntuk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mendapatkan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keuntungan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lebih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sangat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tinggi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karena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dapat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mengurangi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menghilangkan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kegiatan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memberikan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tambah.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Tingkat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efisiensi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menjalankan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operasinya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tingkat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pendapatan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“earning”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tersebut.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Jika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kegiatan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operasional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dilakukan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efisien,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rasio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rendah,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pendapatan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tersebut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naik.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Tingginya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rasio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belum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mampu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mendayagunakan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sumber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dimiliki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belum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mampu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menjalankan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kegiatan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operasionalnya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secara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efisien,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sehingga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berakibat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turunnya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profit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keuntungan.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Dapat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disimpulkan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kecil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lastRenderedPageBreak/>
        <w:t>suatu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perusahaan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perbankan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meningkat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membaik.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menetapkan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angka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terbaik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rasio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adalah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bawah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90%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karena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jika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rasio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melebihi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90%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hingga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mendekati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angka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100%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tersebut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dapat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dikategorikan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efisien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menjalankan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operasi.Selama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2012-2016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lebih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banyak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bawah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90%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sudah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efisiennya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menjalankan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operasionalnya.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Sedangka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lebih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banyak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90%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belum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efisiennya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menekan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biaya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operasional.</w:t>
      </w:r>
    </w:p>
    <w:p w:rsidR="00BB24A4" w:rsidRDefault="00BB24A4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b/>
          <w:lang w:val="id-ID"/>
        </w:rPr>
        <w:t>Pengaruh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CAR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terhadap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negatif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signifikan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terdaftar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Otoritas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Jasa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2012-2016.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mendukung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hipotesis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dibentuk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menyatakan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positip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Berdasarkan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perubahan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terjadi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ROA.Hasil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temuan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mendukung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Hasdillah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(2017)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(2013)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dimana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signifikan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ROA.</w:t>
      </w:r>
      <w:r w:rsidR="00CE55B7">
        <w:rPr>
          <w:rFonts w:ascii="Tahoma" w:eastAsia="Times New Roman" w:hAnsi="Tahoma" w:cs="Tahoma"/>
          <w:lang w:val="id-ID"/>
        </w:rPr>
        <w:t xml:space="preserve"> 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signifikan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bisa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dikatakan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ROA.Pengaruh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signifikan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dikarenakan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cenderung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menginvestasikan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dananya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hati-hati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lebih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menekankan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survival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serta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besarnya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sekedar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memenuhi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ditentukan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tentang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Kewajiban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Penyediaan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Modal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Minimum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Umumsehingga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banyak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profitabilitas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tersebut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dapat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terjadi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karena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mungkin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belum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dapat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menyalurkan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kredit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belum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sesuai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diharapkan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belum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optimal.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membuktikan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modal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utama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adalah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sebuah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kepercayaan.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Berdasarkan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Peraturan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minimal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harus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dipenuhi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adalah8%.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Selama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2012-2016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selalu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8%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lastRenderedPageBreak/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kebanyakan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8%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modal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dimiliki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sudah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cukup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menanggung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risiko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kemungkinan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ditanggung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Namun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jika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rasio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terlalu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besar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menandakan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belum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dapat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memanfaatkan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modal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dimilikinya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untuk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keuntungan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karena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terlalu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banyak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menganggur.</w:t>
      </w:r>
    </w:p>
    <w:p w:rsidR="00BB24A4" w:rsidRDefault="00BB24A4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lang w:val="id-ID"/>
        </w:rPr>
      </w:pPr>
      <w:r w:rsidRPr="00CE55B7">
        <w:rPr>
          <w:rFonts w:ascii="Tahoma" w:eastAsia="Times New Roman" w:hAnsi="Tahoma" w:cs="Tahoma"/>
          <w:b/>
          <w:lang w:val="id-ID"/>
        </w:rPr>
        <w:t>Perbedaan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ROA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Bank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Konvensional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dan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Bank</w:t>
      </w:r>
      <w:r w:rsidR="00CE55B7">
        <w:rPr>
          <w:rFonts w:ascii="Tahoma" w:eastAsia="Times New Roman" w:hAnsi="Tahoma" w:cs="Tahoma"/>
          <w:b/>
          <w:lang w:val="id-ID"/>
        </w:rPr>
        <w:t xml:space="preserve"> </w:t>
      </w:r>
      <w:r w:rsidRPr="00CE55B7">
        <w:rPr>
          <w:rFonts w:ascii="Tahoma" w:eastAsia="Times New Roman" w:hAnsi="Tahoma" w:cs="Tahoma"/>
          <w:b/>
          <w:lang w:val="id-ID"/>
        </w:rPr>
        <w:t>Syariah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membuktikan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terdapat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perbedaan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antara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terdaftar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Otoritas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Jasa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2012-2016.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lebih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rendah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dibandingkan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Dimana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tidak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sejalan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penelitian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dilakukan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oleh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Sabir</w:t>
      </w:r>
      <w:r w:rsidR="00543B76">
        <w:rPr>
          <w:rFonts w:ascii="Tahoma" w:eastAsia="Times New Roman" w:hAnsi="Tahoma" w:cs="Tahoma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Ali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Habbe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(2012)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serta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Sovia,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Saifi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Husaini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(2016)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menunjukan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bahwa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diukur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lebih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syariah.</w:t>
      </w:r>
      <w:r w:rsidR="00CE55B7">
        <w:rPr>
          <w:rFonts w:ascii="Tahoma" w:eastAsia="Times New Roman" w:hAnsi="Tahoma" w:cs="Tahoma"/>
          <w:lang w:val="id-ID"/>
        </w:rPr>
        <w:t xml:space="preserve"> </w:t>
      </w:r>
    </w:p>
    <w:p w:rsidR="00882D81" w:rsidRPr="00CE55B7" w:rsidRDefault="00882D81" w:rsidP="00BB24A4">
      <w:pPr>
        <w:spacing w:after="0" w:line="240" w:lineRule="auto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ab/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memiliki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lebih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rendah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dikarenakanselama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2012-2016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memilki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total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asset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lebih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besar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dibandingkan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sehingga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perputaran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assetnya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menjadi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lebih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lambat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yangmengakibatkan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perolehan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labanya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menjadi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lebih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sedikit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dibandingkan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Selain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itu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total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asset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besar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mengakibatkan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perhitungan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dihasilkan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menjadi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lebih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kecil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karena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total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asset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merupakan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faktor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atau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bilangan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penyebut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dalam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perhitungan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nilai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ROA.</w:t>
      </w:r>
    </w:p>
    <w:p w:rsidR="00047FE0" w:rsidRDefault="00047FE0" w:rsidP="00BB24A4">
      <w:pPr>
        <w:spacing w:after="0" w:line="240" w:lineRule="auto"/>
        <w:ind w:firstLine="709"/>
        <w:contextualSpacing/>
        <w:jc w:val="both"/>
        <w:rPr>
          <w:rFonts w:ascii="Tahoma" w:hAnsi="Tahoma" w:cs="Tahoma"/>
          <w:b/>
        </w:rPr>
      </w:pPr>
    </w:p>
    <w:p w:rsidR="00047FE0" w:rsidRPr="004F6D5B" w:rsidRDefault="00047FE0" w:rsidP="00047FE0">
      <w:pPr>
        <w:spacing w:after="0" w:line="240" w:lineRule="auto"/>
        <w:contextualSpacing/>
        <w:jc w:val="both"/>
        <w:rPr>
          <w:rFonts w:ascii="Tahoma" w:hAnsi="Tahoma" w:cs="Tahoma"/>
          <w:b/>
          <w:sz w:val="24"/>
        </w:rPr>
      </w:pPr>
      <w:r w:rsidRPr="004F6D5B">
        <w:rPr>
          <w:rFonts w:ascii="Tahoma" w:hAnsi="Tahoma" w:cs="Tahoma"/>
          <w:b/>
          <w:sz w:val="24"/>
        </w:rPr>
        <w:t>Kesimpulan</w:t>
      </w:r>
    </w:p>
    <w:p w:rsidR="00835227" w:rsidRPr="00CE55B7" w:rsidRDefault="008A52DF" w:rsidP="00BB24A4">
      <w:pPr>
        <w:spacing w:after="0" w:line="240" w:lineRule="auto"/>
        <w:ind w:firstLine="709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menguji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membuktikan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empiris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faktor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RGEC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terdaftar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Otoritas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Jasa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Keuangan.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bersama-sama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faktor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RGEC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diproksikan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="00FE54D9" w:rsidRPr="00CE55B7">
        <w:rPr>
          <w:rFonts w:ascii="Tahoma" w:hAnsi="Tahoma" w:cs="Tahoma"/>
          <w:lang w:val="id-ID"/>
        </w:rPr>
        <w:t>ROA.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Secara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parsial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NPL/NPF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LDR/FDR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GCG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NIM/NOM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positif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BOPO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lastRenderedPageBreak/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CAR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negatif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tidak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ROA,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jenis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berpengaruh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perbankan,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sehingga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menimbulkan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perbedaan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antara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konvensional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="00754056" w:rsidRPr="00CE55B7">
        <w:rPr>
          <w:rFonts w:ascii="Tahoma" w:hAnsi="Tahoma" w:cs="Tahoma"/>
          <w:lang w:val="id-ID"/>
        </w:rPr>
        <w:t>syariah.</w:t>
      </w:r>
      <w:r w:rsidR="00CE55B7">
        <w:rPr>
          <w:rFonts w:ascii="Tahoma" w:hAnsi="Tahoma" w:cs="Tahoma"/>
          <w:lang w:val="id-ID"/>
        </w:rPr>
        <w:t xml:space="preserve"> </w:t>
      </w:r>
    </w:p>
    <w:p w:rsidR="00340ABF" w:rsidRPr="00CE55B7" w:rsidRDefault="00340ABF" w:rsidP="00BB24A4">
      <w:pPr>
        <w:spacing w:after="0" w:line="240" w:lineRule="auto"/>
        <w:ind w:firstLine="709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B</w:t>
      </w:r>
      <w:r w:rsidRPr="00CE55B7">
        <w:rPr>
          <w:rFonts w:ascii="Tahoma" w:hAnsi="Tahoma" w:cs="Tahoma"/>
        </w:rPr>
        <w:t>erdasarkan</w:t>
      </w:r>
      <w:r w:rsidR="00CE55B7">
        <w:rPr>
          <w:rFonts w:ascii="Tahoma" w:hAnsi="Tahoma" w:cs="Tahoma"/>
        </w:rPr>
        <w:t xml:space="preserve"> </w:t>
      </w:r>
      <w:r w:rsidR="009B1F74"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="009B1F74" w:rsidRPr="00CE55B7">
        <w:rPr>
          <w:rFonts w:ascii="Tahoma" w:hAnsi="Tahoma" w:cs="Tahoma"/>
          <w:lang w:val="id-ID"/>
        </w:rPr>
        <w:t>penelitian</w:t>
      </w:r>
      <w:r w:rsidRPr="00CE55B7">
        <w:rPr>
          <w:rFonts w:ascii="Tahoma" w:hAnsi="Tahoma" w:cs="Tahoma"/>
        </w:rPr>
        <w:t>,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terdapat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beberapa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</w:rPr>
        <w:t>rasio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yang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mempunyai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signifikan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terhadap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</w:t>
      </w:r>
      <w:r w:rsidRPr="00CE55B7">
        <w:rPr>
          <w:rFonts w:ascii="Tahoma" w:hAnsi="Tahoma" w:cs="Tahoma"/>
        </w:rPr>
        <w:t>.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</w:rPr>
        <w:t>Hal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ini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perlu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dilakukan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pengawasan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yang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lebih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ketat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agar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pada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rasio-rasio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tersebut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dikelola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sehingga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memberikan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dampak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untuk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tahun-tahun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berikutnya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perolehan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laba</w:t>
      </w:r>
      <w:r w:rsidRPr="00CE55B7">
        <w:rPr>
          <w:rFonts w:ascii="Tahoma" w:hAnsi="Tahoma" w:cs="Tahoma"/>
        </w:rPr>
        <w:t>.</w:t>
      </w:r>
      <w:proofErr w:type="gramEnd"/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itu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perbankan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diharapkan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mengo</w:t>
      </w:r>
      <w:r w:rsidRPr="00CE55B7">
        <w:rPr>
          <w:rFonts w:ascii="Tahoma" w:hAnsi="Tahoma" w:cs="Tahoma"/>
        </w:rPr>
        <w:t>ptimalkan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penggunaan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seluruh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aset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yang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dimiliki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agar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bisa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menjadi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aset-aset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yang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produktif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memberikan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laba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yang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maksimal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sehingga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dapat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menambah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modal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perbankan.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</w:rPr>
        <w:t>Penambahan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modal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juga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dapat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dilakukan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melalui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optimalisasi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pendapatan,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nasabah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deposan,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investor,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penjualan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surat-surat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berharga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</w:t>
      </w:r>
      <w:r w:rsidRPr="00CE55B7">
        <w:rPr>
          <w:rFonts w:ascii="Tahoma" w:hAnsi="Tahoma" w:cs="Tahoma"/>
          <w:lang w:val="id-ID"/>
        </w:rPr>
        <w:t>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sebagainya</w:t>
      </w:r>
      <w:r w:rsidRPr="00CE55B7">
        <w:rPr>
          <w:rFonts w:ascii="Tahoma" w:hAnsi="Tahoma" w:cs="Tahoma"/>
        </w:rPr>
        <w:t>.</w:t>
      </w:r>
      <w:proofErr w:type="gramEnd"/>
    </w:p>
    <w:p w:rsidR="009B1F74" w:rsidRPr="00CE55B7" w:rsidRDefault="00340ABF" w:rsidP="00BB24A4">
      <w:pPr>
        <w:spacing w:after="0" w:line="240" w:lineRule="auto"/>
        <w:ind w:firstLine="709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hAnsi="Tahoma" w:cs="Tahoma"/>
          <w:lang w:val="id-ID"/>
        </w:rPr>
        <w:t>Keterbatasan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dalam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</w:t>
      </w:r>
      <w:r w:rsidRPr="00CE55B7">
        <w:rPr>
          <w:rFonts w:ascii="Tahoma" w:hAnsi="Tahoma" w:cs="Tahoma"/>
        </w:rPr>
        <w:t>enelitian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ini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sebanyak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40,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sehingga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masih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belum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mampu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memberikan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sempurna.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</w:rPr>
        <w:t>selanjutnya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menambah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sampel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dengan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harapan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mampu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memberikan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baik.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itu,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selanjutnya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</w:rPr>
        <w:t>diharapkan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menggunakan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rasio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lang w:val="id-ID"/>
        </w:rPr>
        <w:t>pengukuran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kinerja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ROA.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Kemudian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</w:t>
      </w:r>
      <w:r w:rsidRPr="00CE55B7">
        <w:rPr>
          <w:rFonts w:ascii="Tahoma" w:hAnsi="Tahoma" w:cs="Tahoma"/>
        </w:rPr>
        <w:t>alam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mengukur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faktor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i/>
        </w:rPr>
        <w:t>earning</w:t>
      </w:r>
      <w:r w:rsidR="00CE55B7">
        <w:rPr>
          <w:rFonts w:ascii="Tahoma" w:hAnsi="Tahoma" w:cs="Tahoma"/>
          <w:i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menyertakan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rasio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lain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seperti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NPM,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GPM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menyertakan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risiko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lain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yang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tercantum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didalam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komponen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  <w:i/>
        </w:rPr>
        <w:t>risk</w:t>
      </w:r>
      <w:r w:rsidR="00CE55B7">
        <w:rPr>
          <w:rFonts w:ascii="Tahoma" w:hAnsi="Tahoma" w:cs="Tahoma"/>
          <w:i/>
        </w:rPr>
        <w:t xml:space="preserve"> </w:t>
      </w:r>
      <w:r w:rsidRPr="00CE55B7">
        <w:rPr>
          <w:rFonts w:ascii="Tahoma" w:hAnsi="Tahoma" w:cs="Tahoma"/>
          <w:i/>
        </w:rPr>
        <w:t>profile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berdasarkan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PBI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No.</w:t>
      </w:r>
      <w:r w:rsidR="00CE55B7">
        <w:rPr>
          <w:rFonts w:ascii="Tahoma" w:hAnsi="Tahoma" w:cs="Tahoma"/>
        </w:rPr>
        <w:t xml:space="preserve"> </w:t>
      </w:r>
      <w:proofErr w:type="gramStart"/>
      <w:r w:rsidRPr="00CE55B7">
        <w:rPr>
          <w:rFonts w:ascii="Tahoma" w:hAnsi="Tahoma" w:cs="Tahoma"/>
        </w:rPr>
        <w:t>13/1/PBI/2011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dan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SE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No.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13/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24/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DPNP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tanggal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25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Oktober</w:t>
      </w:r>
      <w:r w:rsidR="00CE55B7">
        <w:rPr>
          <w:rFonts w:ascii="Tahoma" w:hAnsi="Tahoma" w:cs="Tahoma"/>
        </w:rPr>
        <w:t xml:space="preserve"> </w:t>
      </w:r>
      <w:r w:rsidRPr="00CE55B7">
        <w:rPr>
          <w:rFonts w:ascii="Tahoma" w:hAnsi="Tahoma" w:cs="Tahoma"/>
        </w:rPr>
        <w:t>2011.</w:t>
      </w:r>
      <w:proofErr w:type="gramEnd"/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selanjutnya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juga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diharapkan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untuk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menggunakan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objek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luas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periode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lama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sehingga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hasil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penelitian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dapat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lebih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menjelaskan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hubungan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pengaruh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keakuratannya.</w:t>
      </w:r>
    </w:p>
    <w:p w:rsidR="00940AAD" w:rsidRPr="00CE55B7" w:rsidRDefault="00940AAD" w:rsidP="00BB24A4">
      <w:pPr>
        <w:spacing w:after="0" w:line="240" w:lineRule="auto"/>
        <w:contextualSpacing/>
        <w:rPr>
          <w:rFonts w:ascii="Tahoma" w:hAnsi="Tahoma" w:cs="Tahoma"/>
          <w:b/>
        </w:rPr>
      </w:pPr>
    </w:p>
    <w:p w:rsidR="00BB24A4" w:rsidRPr="004F6D5B" w:rsidRDefault="00BB24A4" w:rsidP="00BB24A4">
      <w:pPr>
        <w:shd w:val="clear" w:color="auto" w:fill="FFFFFF"/>
        <w:spacing w:after="0" w:line="240" w:lineRule="auto"/>
        <w:ind w:left="630" w:hanging="630"/>
        <w:contextualSpacing/>
        <w:jc w:val="both"/>
        <w:rPr>
          <w:rFonts w:ascii="Tahoma" w:hAnsi="Tahoma" w:cs="Tahoma"/>
          <w:b/>
          <w:sz w:val="24"/>
        </w:rPr>
      </w:pPr>
      <w:r w:rsidRPr="004F6D5B">
        <w:rPr>
          <w:rFonts w:ascii="Tahoma" w:hAnsi="Tahoma" w:cs="Tahoma"/>
          <w:b/>
          <w:sz w:val="24"/>
        </w:rPr>
        <w:t>Daftar Pustaka</w:t>
      </w: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Arifin,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Zainul.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(2005).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Dasar-Dasar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Manajemen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Bank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Syariah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Cetakan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3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Jakarta: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Pustaka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Alvabet.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Ascarya.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(2013).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Akad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Produk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Bank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Syariah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Jakarta: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Grafindo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Persada.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Ash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Shidieq,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Hasbi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Willy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Yuliandari.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(2015).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Loan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to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Deposit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Ratio,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lastRenderedPageBreak/>
        <w:t>Non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Performing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Loan,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Good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Corporate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Governance</w:t>
      </w:r>
      <w:r w:rsidRPr="00CE55B7">
        <w:rPr>
          <w:rFonts w:ascii="Tahoma" w:eastAsia="Times New Roman" w:hAnsi="Tahoma" w:cs="Tahoma"/>
          <w:lang w:val="id-ID"/>
        </w:rPr>
        <w:t>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Biaya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Operasional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Pendapatan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Operasional,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Capital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Adequacy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Ratio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Return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On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Asset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Devisa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Public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2010-2012.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E-Proceeding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of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Management.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Vol.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Hlm: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462-471.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(2007).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“Surat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Edaran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9/12/DPNP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Tanggal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30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ab/>
        <w:t>Mei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2007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Perihal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Pelaksanaan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Good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Corporate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Governance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bagi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Umum”.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Diakses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Tanggal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11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November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2017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hyperlink r:id="rId11" w:history="1">
        <w:r w:rsidRPr="00CE55B7">
          <w:rPr>
            <w:rStyle w:val="Hyperlink"/>
            <w:rFonts w:ascii="Tahoma" w:eastAsia="Times New Roman" w:hAnsi="Tahoma" w:cs="Tahoma"/>
            <w:lang w:val="id-ID"/>
          </w:rPr>
          <w:t>www.bi.go.id</w:t>
        </w:r>
      </w:hyperlink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</w:rPr>
      </w:pPr>
    </w:p>
    <w:p w:rsidR="00843135" w:rsidRPr="00CE55B7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_____</w:t>
      </w:r>
      <w:r w:rsidR="00843135" w:rsidRPr="00CE55B7">
        <w:rPr>
          <w:rFonts w:ascii="Tahoma" w:hAnsi="Tahoma" w:cs="Tahoma"/>
          <w:lang w:val="id-ID"/>
        </w:rPr>
        <w:t>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(2011).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“Peraturan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Nomor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13/1/PBI/2011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Tanggal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5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Januari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2011Perihal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Penilaian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Kesehatan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Umum”.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Diakses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Tanggal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11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November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2017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hyperlink r:id="rId12" w:history="1">
        <w:r w:rsidR="00843135" w:rsidRPr="00CE55B7">
          <w:rPr>
            <w:rStyle w:val="Hyperlink"/>
            <w:rFonts w:ascii="Tahoma" w:hAnsi="Tahoma" w:cs="Tahoma"/>
            <w:lang w:val="id-ID"/>
          </w:rPr>
          <w:t>www.bi.go.id</w:t>
        </w:r>
      </w:hyperlink>
      <w:r w:rsidR="00843135" w:rsidRPr="00CE55B7">
        <w:rPr>
          <w:rFonts w:ascii="Tahoma" w:hAnsi="Tahoma" w:cs="Tahoma"/>
          <w:lang w:val="id-ID"/>
        </w:rPr>
        <w:t>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</w:rPr>
      </w:pPr>
    </w:p>
    <w:p w:rsidR="00843135" w:rsidRPr="00CE55B7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_____</w:t>
      </w:r>
      <w:r w:rsidR="00843135" w:rsidRPr="00CE55B7">
        <w:rPr>
          <w:rFonts w:ascii="Tahoma" w:hAnsi="Tahoma" w:cs="Tahoma"/>
          <w:lang w:val="id-ID"/>
        </w:rPr>
        <w:t>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(2011).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“Surat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Edaran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No.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13/24/DPNP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Tanggal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25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Oktober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2011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Perihal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Pedoman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Sistem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Penilaian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Tingkat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Kesehatan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Umum”.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Diakses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Tanggal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11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November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2017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hyperlink r:id="rId13" w:history="1">
        <w:r w:rsidR="00843135" w:rsidRPr="00CE55B7">
          <w:rPr>
            <w:rStyle w:val="Hyperlink"/>
            <w:rFonts w:ascii="Tahoma" w:hAnsi="Tahoma" w:cs="Tahoma"/>
            <w:lang w:val="id-ID"/>
          </w:rPr>
          <w:t>www.bi.go.id</w:t>
        </w:r>
      </w:hyperlink>
      <w:r w:rsidR="00843135" w:rsidRPr="00CE55B7">
        <w:rPr>
          <w:rFonts w:ascii="Tahoma" w:hAnsi="Tahoma" w:cs="Tahoma"/>
          <w:lang w:val="id-ID"/>
        </w:rPr>
        <w:t>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</w:rPr>
      </w:pPr>
    </w:p>
    <w:p w:rsidR="00843135" w:rsidRPr="00CE55B7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_____</w:t>
      </w:r>
      <w:r w:rsidR="00843135" w:rsidRPr="00CE55B7">
        <w:rPr>
          <w:rFonts w:ascii="Tahoma" w:hAnsi="Tahoma" w:cs="Tahoma"/>
          <w:lang w:val="id-ID"/>
        </w:rPr>
        <w:t>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(2011).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“Surat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Edaran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No.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13/30/DPNP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Tanggal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16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Desember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2011,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Perihal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Laporan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Keuangan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Publikasi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Triwulanan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Bulanan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Umum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serta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Laporan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Tertentu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yang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disampaikan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kepada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Indonesia”.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Diakses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Tanggal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11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November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2017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hyperlink r:id="rId14" w:history="1">
        <w:r w:rsidR="00843135" w:rsidRPr="00CE55B7">
          <w:rPr>
            <w:rStyle w:val="Hyperlink"/>
            <w:rFonts w:ascii="Tahoma" w:hAnsi="Tahoma" w:cs="Tahoma"/>
            <w:lang w:val="id-ID"/>
          </w:rPr>
          <w:t>www.bi.go.id</w:t>
        </w:r>
      </w:hyperlink>
      <w:r w:rsidR="00843135" w:rsidRPr="00CE55B7">
        <w:rPr>
          <w:rFonts w:ascii="Tahoma" w:hAnsi="Tahoma" w:cs="Tahoma"/>
          <w:lang w:val="id-ID"/>
        </w:rPr>
        <w:t>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</w:rPr>
      </w:pPr>
    </w:p>
    <w:p w:rsidR="00843135" w:rsidRPr="00CE55B7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_____</w:t>
      </w:r>
      <w:r w:rsidR="00843135" w:rsidRPr="00CE55B7">
        <w:rPr>
          <w:rFonts w:ascii="Tahoma" w:hAnsi="Tahoma" w:cs="Tahoma"/>
          <w:lang w:val="id-ID"/>
        </w:rPr>
        <w:t>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(2012).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“Peraturan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No.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14/26/PBI/2012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PerihalKegiatan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Usaha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dan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Jaringan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Kantor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Berdasarkan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Inti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Bank”.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Diakses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Tanggal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11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November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2017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hyperlink r:id="rId15" w:history="1">
        <w:r w:rsidR="00843135" w:rsidRPr="00CE55B7">
          <w:rPr>
            <w:rStyle w:val="Hyperlink"/>
            <w:rFonts w:ascii="Tahoma" w:hAnsi="Tahoma" w:cs="Tahoma"/>
            <w:lang w:val="id-ID"/>
          </w:rPr>
          <w:t>www.bi.go.id</w:t>
        </w:r>
      </w:hyperlink>
      <w:r w:rsidR="00843135" w:rsidRPr="00CE55B7">
        <w:rPr>
          <w:rFonts w:ascii="Tahoma" w:hAnsi="Tahoma" w:cs="Tahoma"/>
          <w:lang w:val="id-ID"/>
        </w:rPr>
        <w:t>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</w:rPr>
      </w:pPr>
    </w:p>
    <w:p w:rsidR="00843135" w:rsidRPr="00CE55B7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_____</w:t>
      </w:r>
      <w:r w:rsidR="00843135" w:rsidRPr="00CE55B7">
        <w:rPr>
          <w:rFonts w:ascii="Tahoma" w:hAnsi="Tahoma" w:cs="Tahoma"/>
          <w:lang w:val="id-ID"/>
        </w:rPr>
        <w:t>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(2013).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“Peraturan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Indonesia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No.15/12/PBI/2013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Perihal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Kewajiban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Penyediaan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Modal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Minimum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Bank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Umum”.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pada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Tanggal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11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November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2017</w:t>
      </w:r>
      <w:r w:rsidR="00CE55B7">
        <w:rPr>
          <w:rFonts w:ascii="Tahoma" w:hAnsi="Tahoma" w:cs="Tahoma"/>
          <w:lang w:val="id-ID"/>
        </w:rPr>
        <w:t xml:space="preserve"> </w:t>
      </w:r>
      <w:r w:rsidR="00843135" w:rsidRPr="00CE55B7">
        <w:rPr>
          <w:rFonts w:ascii="Tahoma" w:hAnsi="Tahoma" w:cs="Tahoma"/>
          <w:lang w:val="id-ID"/>
        </w:rPr>
        <w:t>dari</w:t>
      </w:r>
      <w:r w:rsidR="00CE55B7">
        <w:rPr>
          <w:rFonts w:ascii="Tahoma" w:hAnsi="Tahoma" w:cs="Tahoma"/>
          <w:lang w:val="id-ID"/>
        </w:rPr>
        <w:t xml:space="preserve"> </w:t>
      </w:r>
      <w:hyperlink r:id="rId16" w:history="1">
        <w:r w:rsidR="00843135" w:rsidRPr="00CE55B7">
          <w:rPr>
            <w:rStyle w:val="Hyperlink"/>
            <w:rFonts w:ascii="Tahoma" w:hAnsi="Tahoma" w:cs="Tahoma"/>
            <w:lang w:val="id-ID"/>
          </w:rPr>
          <w:t>www.bi.go.id</w:t>
        </w:r>
      </w:hyperlink>
      <w:r w:rsidR="00843135" w:rsidRPr="00CE55B7">
        <w:rPr>
          <w:rFonts w:ascii="Tahoma" w:hAnsi="Tahoma" w:cs="Tahoma"/>
          <w:lang w:val="id-ID"/>
        </w:rPr>
        <w:t>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Bhuiyan,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MD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Hamid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Ullah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Biswas.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(2007).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“</w:t>
      </w:r>
      <w:r w:rsidRPr="00CE55B7">
        <w:rPr>
          <w:rFonts w:ascii="Tahoma" w:eastAsia="Times New Roman" w:hAnsi="Tahoma" w:cs="Tahoma"/>
          <w:i/>
          <w:lang w:val="id-ID"/>
        </w:rPr>
        <w:t>Corporate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Governance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and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Reporting”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Empirical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Study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of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The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Listed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Companies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in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Bangladesh</w:t>
      </w:r>
      <w:r w:rsidRPr="00CE55B7">
        <w:rPr>
          <w:rFonts w:ascii="Tahoma" w:eastAsia="Times New Roman" w:hAnsi="Tahoma" w:cs="Tahoma"/>
          <w:lang w:val="id-ID"/>
        </w:rPr>
        <w:t>”.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lastRenderedPageBreak/>
        <w:t>Journal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of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Business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Studies.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Vol.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XXVIII,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Dendawijaya,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Lukman.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(2003).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Manajemen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Perbankan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Jakarta: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Ghalia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>
        <w:rPr>
          <w:rFonts w:ascii="Tahoma" w:eastAsia="Times New Roman" w:hAnsi="Tahoma" w:cs="Tahoma"/>
        </w:rPr>
        <w:t>_____</w:t>
      </w:r>
      <w:r w:rsidR="00843135"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(2009).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i/>
          <w:lang w:val="id-ID"/>
        </w:rPr>
        <w:t>Manajemen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i/>
          <w:lang w:val="id-ID"/>
        </w:rPr>
        <w:t>Perbankan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i/>
          <w:lang w:val="id-ID"/>
        </w:rPr>
        <w:t>Edisi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i/>
          <w:lang w:val="id-ID"/>
        </w:rPr>
        <w:t>Kedua</w:t>
      </w:r>
      <w:r w:rsidR="00843135"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Jakarta: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Ghalia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Indonesia.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Dewi,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Farida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Shinta,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Rina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Arifati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Rita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Andini.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(2016).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Analysis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of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Effect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of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</w:t>
      </w:r>
      <w:r w:rsidRPr="00CE55B7">
        <w:rPr>
          <w:rFonts w:ascii="Tahoma" w:eastAsia="Times New Roman" w:hAnsi="Tahoma" w:cs="Tahoma"/>
          <w:i/>
          <w:lang w:val="id-ID"/>
        </w:rPr>
        <w:t>,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Company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Size,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NPL</w:t>
      </w:r>
      <w:r w:rsidRPr="00CE55B7">
        <w:rPr>
          <w:rFonts w:ascii="Tahoma" w:eastAsia="Times New Roman" w:hAnsi="Tahoma" w:cs="Tahoma"/>
          <w:i/>
          <w:lang w:val="id-ID"/>
        </w:rPr>
        <w:t>,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and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GCG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to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Bank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Profitability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(Case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Study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and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Banking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Companies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Listed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in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PERIOD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2010-2013).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Journal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of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Accounting.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Vol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Eng,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Sau.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(2013).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NIM,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NPL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Internasional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Nasional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Public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2007-2011.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Jurnal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Dinamika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Manajemen.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Vol.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3.</w:t>
      </w:r>
      <w:r w:rsidRPr="00CE55B7">
        <w:rPr>
          <w:rFonts w:ascii="Tahoma" w:hAnsi="Tahoma" w:cs="Tahoma"/>
          <w:bCs/>
          <w:lang w:val="id-ID"/>
        </w:rPr>
        <w:t>Hlm:</w:t>
      </w:r>
      <w:r w:rsidR="00CE55B7">
        <w:rPr>
          <w:rFonts w:ascii="Tahoma" w:hAnsi="Tahoma" w:cs="Tahoma"/>
          <w:bCs/>
          <w:lang w:val="id-ID"/>
        </w:rPr>
        <w:t xml:space="preserve"> </w:t>
      </w:r>
      <w:r w:rsidRPr="00CE55B7">
        <w:rPr>
          <w:rFonts w:ascii="Tahoma" w:hAnsi="Tahoma" w:cs="Tahoma"/>
          <w:bCs/>
          <w:lang w:val="id-ID"/>
        </w:rPr>
        <w:t>153-167</w:t>
      </w:r>
      <w:r w:rsidRPr="00CE55B7">
        <w:rPr>
          <w:rFonts w:ascii="Tahoma" w:eastAsia="Times New Roman" w:hAnsi="Tahoma" w:cs="Tahoma"/>
          <w:lang w:val="id-ID"/>
        </w:rPr>
        <w:t>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Fahmi,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Irham.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(2015).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Manajemen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Perbankan: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Konvensional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Syariah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Jakarta: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Mitra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Wacana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Media.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Ghozali,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Imam.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(2011).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Aplikasi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Analisis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Multivariate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dengan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Program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SPSS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Semarang: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Universitas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Diponegoro.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Gujarati,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Damodar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.N.,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Dawn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Porter.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(2013).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Dasar-Dasar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Ekonometrika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Edisi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Kelima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Jakarta: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Salemba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Empat.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  <w:bCs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Hasdillah.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(2017).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NPL,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Pembangunan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Daerah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Kalimantan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Timur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2010-2016.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E-Journal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Administrasi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Bisnis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Vol.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5,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4.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Hlm: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hAnsi="Tahoma" w:cs="Tahoma"/>
          <w:bCs/>
          <w:lang w:val="id-ID"/>
        </w:rPr>
        <w:t>891-903.</w:t>
      </w:r>
      <w:r w:rsidR="00CE55B7">
        <w:rPr>
          <w:rFonts w:ascii="Tahoma" w:hAnsi="Tahoma" w:cs="Tahoma"/>
          <w:bCs/>
          <w:lang w:val="id-ID"/>
        </w:rPr>
        <w:t xml:space="preserve"> 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Harahap,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Sofyan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Syafri.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(2007).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Analisis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Kritis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atas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Laporan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Keuangan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Jakarta: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Grafindo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Persada.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  <w:bCs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Harun,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Usman.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(2016).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Ratio-Ratio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CAR,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LDR,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NIM,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BOPO,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NPL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ROA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2009-2013.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Jurnal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Riset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Bisnis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Manajemen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Vol.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4,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Hlm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67-82.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Iskandar,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Bunga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Aprigati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Nisful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Laila.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(2016).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Komponen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Risk-Based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Bank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Rating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Profitabilitas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Jurnal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Ekonomi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Syariah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Teori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Terapan.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Vol.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3,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3.</w:t>
      </w:r>
      <w:r w:rsidRPr="00CE55B7">
        <w:rPr>
          <w:rFonts w:ascii="Tahoma" w:hAnsi="Tahoma" w:cs="Tahoma"/>
          <w:lang w:val="id-ID"/>
        </w:rPr>
        <w:t>Hlm: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173-186.</w:t>
      </w:r>
      <w:r w:rsidR="00CE55B7">
        <w:rPr>
          <w:rFonts w:ascii="Tahoma" w:hAnsi="Tahoma" w:cs="Tahoma"/>
          <w:lang w:val="id-ID"/>
        </w:rPr>
        <w:t xml:space="preserve"> 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Ismail.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(2010).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Manajemen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Perbankan: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Dari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Teori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Menuju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Aplikasi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Jakarta: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Kencana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Prenada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Media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Group.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Kementerian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Usaha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Milik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Negara.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(2002).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“Keputusan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Menteri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Usaha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Milik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Negara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Nomor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KEP-117/M-MBU/2002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Tanggal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31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Juli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2002,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Perihal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Good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Corporate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Governance</w:t>
      </w:r>
      <w:r w:rsidRPr="00CE55B7">
        <w:rPr>
          <w:rFonts w:ascii="Tahoma" w:eastAsia="Times New Roman" w:hAnsi="Tahoma" w:cs="Tahoma"/>
          <w:lang w:val="id-ID"/>
        </w:rPr>
        <w:t>”.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Diakses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Tanggal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29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November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2017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www.jdih.bumn.go.id.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Margaretha,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Farah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Marsheilly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Pingkan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Zai.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(2013).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Faktor-faktor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Mempengaruhi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Perbankan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Jurnal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Bisnis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Akuntansi.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Vol.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15,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No.2.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Hlm:</w:t>
      </w:r>
      <w:r w:rsidR="00CE55B7">
        <w:rPr>
          <w:rFonts w:ascii="Tahoma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133-141.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Nadratuzzaman,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Hilda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Husen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Hasan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Ali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.</w:t>
      </w:r>
      <w:r w:rsidR="004B2A71">
        <w:rPr>
          <w:rFonts w:ascii="Tahoma" w:eastAsia="Times New Roman" w:hAnsi="Tahoma" w:cs="Tahoma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(2006).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Lembaga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Bisnis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Syariah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Cetakan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II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Jakarta: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Pusat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Komunikasi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Ekonomi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(PKES).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Otoritas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Jasa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(2014).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Statistik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Perbankan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Tahun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2014.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Diakses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Tanggal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7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Oktober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2017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www.ojk.go.id.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</w:rPr>
      </w:pPr>
    </w:p>
    <w:p w:rsidR="00843135" w:rsidRPr="00CE55B7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>
        <w:rPr>
          <w:rFonts w:ascii="Tahoma" w:hAnsi="Tahoma" w:cs="Tahoma"/>
        </w:rPr>
        <w:t>_____</w:t>
      </w:r>
      <w:r w:rsidR="00843135"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(2014).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Statistik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Perbankan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Tahun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2014.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Diakses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Tanggal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7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Oktober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2017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www.ojk.go.id.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</w:rPr>
      </w:pPr>
    </w:p>
    <w:p w:rsidR="00843135" w:rsidRPr="00CE55B7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>
        <w:rPr>
          <w:rFonts w:ascii="Tahoma" w:hAnsi="Tahoma" w:cs="Tahoma"/>
        </w:rPr>
        <w:t>_____</w:t>
      </w:r>
      <w:r w:rsidR="00843135"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(2016).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Statistik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Perbankan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Indonesia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Tahun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2016.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Diakses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Tanggal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7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Oktober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2017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www.ojk.go.id.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</w:rPr>
      </w:pPr>
    </w:p>
    <w:p w:rsidR="00843135" w:rsidRPr="00CE55B7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>
        <w:rPr>
          <w:rFonts w:ascii="Tahoma" w:hAnsi="Tahoma" w:cs="Tahoma"/>
        </w:rPr>
        <w:t>_____</w:t>
      </w:r>
      <w:r w:rsidR="00843135"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(2016).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Statistik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Perbankan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Tahun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2016.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Diakses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Tanggal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7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Oktober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2017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dari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www.ojk.go.id.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Rivai,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Veithzal.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(2009).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Islamic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Financial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Management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Jakarta: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Grafindo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Persada.</w:t>
      </w: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lastRenderedPageBreak/>
        <w:t>Sabir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M.,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Muh,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Muhammad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Ali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Abd.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Hamid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Habbe.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(2012).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Rasio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Kesehatan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Umum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Jurnal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Analisis.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Vol.1,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No.1.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Hlm: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79-86.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Sekaran,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Uma.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(2006).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Research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Methods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for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Business-Metode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Penelitian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untuk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Bisnis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Edisi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4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Buku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1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Jakarta: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Salemba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Empat.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Sovia,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Sasa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Elida,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Muhammad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Saifi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&amp;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Achmad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Husaini.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(2016).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Analisis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Perbandingan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Berdasarkan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Rasio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Keuangan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(Studi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pada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Konvensional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Terdaftar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BEI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Memiliki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Syariah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Periode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2012-2014.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Jurnal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Administrasi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Bisnis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(JAB)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Vol.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37,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Hlm: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129-136.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Sugiyono.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(2013).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Metode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Penelitian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Bisnis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(Pendekatan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Kuantitatif,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Kualitatif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dan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R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&amp;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D)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Bandung: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Alfabeta.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Taswan.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(2008).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Akuntansi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Perbankan,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Transaksi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dalam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Valuta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Rupiah</w:t>
      </w:r>
      <w:r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Yogyakarta: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UPP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STIM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YKPN.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hAnsi="Tahoma" w:cs="Tahoma"/>
        </w:rPr>
      </w:pPr>
    </w:p>
    <w:p w:rsidR="00843135" w:rsidRPr="00CE55B7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>
        <w:rPr>
          <w:rFonts w:ascii="Tahoma" w:hAnsi="Tahoma" w:cs="Tahoma"/>
        </w:rPr>
        <w:t>_____</w:t>
      </w:r>
      <w:r w:rsidR="00843135"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(2010).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i/>
          <w:lang w:val="id-ID"/>
        </w:rPr>
        <w:t>Manajemen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i/>
          <w:lang w:val="id-ID"/>
        </w:rPr>
        <w:t>Perbankan: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i/>
          <w:lang w:val="id-ID"/>
        </w:rPr>
        <w:t>Konsep,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i/>
          <w:lang w:val="id-ID"/>
        </w:rPr>
        <w:t>Teknik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i/>
          <w:lang w:val="id-ID"/>
        </w:rPr>
        <w:t>&amp;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i/>
          <w:lang w:val="id-ID"/>
        </w:rPr>
        <w:t>Aplikasi,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i/>
          <w:lang w:val="id-ID"/>
        </w:rPr>
        <w:t>Edisi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i/>
          <w:lang w:val="id-ID"/>
        </w:rPr>
        <w:t>II</w:t>
      </w:r>
      <w:r w:rsidR="00843135" w:rsidRPr="00CE55B7">
        <w:rPr>
          <w:rFonts w:ascii="Tahoma" w:eastAsia="Times New Roman" w:hAnsi="Tahoma" w:cs="Tahoma"/>
          <w:lang w:val="id-ID"/>
        </w:rPr>
        <w:t>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Yogyakarta: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UPP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STIM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="00843135" w:rsidRPr="00CE55B7">
        <w:rPr>
          <w:rFonts w:ascii="Tahoma" w:eastAsia="Times New Roman" w:hAnsi="Tahoma" w:cs="Tahoma"/>
          <w:lang w:val="id-ID"/>
        </w:rPr>
        <w:t>YKPN.</w:t>
      </w:r>
    </w:p>
    <w:p w:rsidR="00047FE0" w:rsidRDefault="00047FE0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Tjondro,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David</w:t>
      </w:r>
      <w:r w:rsidRPr="00CE55B7">
        <w:rPr>
          <w:rFonts w:ascii="Tahoma" w:eastAsia="Times New Roman" w:hAnsi="Tahoma" w:cs="Tahoma"/>
        </w:rPr>
        <w:t>&amp;</w:t>
      </w:r>
      <w:r w:rsidRPr="00CE55B7">
        <w:rPr>
          <w:rFonts w:ascii="Tahoma" w:eastAsia="Times New Roman" w:hAnsi="Tahoma" w:cs="Tahoma"/>
          <w:lang w:val="id-ID"/>
        </w:rPr>
        <w:t>R.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Wilopo.</w:t>
      </w:r>
      <w:r w:rsidR="00CE55B7">
        <w:rPr>
          <w:rFonts w:ascii="Tahoma" w:eastAsia="Times New Roman" w:hAnsi="Tahoma" w:cs="Tahoma"/>
        </w:rPr>
        <w:t xml:space="preserve"> </w:t>
      </w:r>
      <w:proofErr w:type="gramStart"/>
      <w:r w:rsidRPr="00CE55B7">
        <w:rPr>
          <w:rFonts w:ascii="Tahoma" w:eastAsia="Times New Roman" w:hAnsi="Tahoma" w:cs="Tahoma"/>
        </w:rPr>
        <w:t>(20</w:t>
      </w:r>
      <w:r w:rsidRPr="00CE55B7">
        <w:rPr>
          <w:rFonts w:ascii="Tahoma" w:eastAsia="Times New Roman" w:hAnsi="Tahoma" w:cs="Tahoma"/>
          <w:lang w:val="id-ID"/>
        </w:rPr>
        <w:t>1</w:t>
      </w:r>
      <w:r w:rsidRPr="00CE55B7">
        <w:rPr>
          <w:rFonts w:ascii="Tahoma" w:eastAsia="Times New Roman" w:hAnsi="Tahoma" w:cs="Tahoma"/>
        </w:rPr>
        <w:t>1).</w:t>
      </w:r>
      <w:r w:rsidR="00CE55B7">
        <w:rPr>
          <w:rFonts w:ascii="Tahoma" w:eastAsia="Times New Roman" w:hAnsi="Tahoma" w:cs="Tahoma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Pengaruh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Good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Corporate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Governance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(GCG)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Terhadap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Profitabilitas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Kinerja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Saham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Perusahaan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Perbankan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yang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Tercatat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di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Bursa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Efek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Indonesia.</w:t>
      </w:r>
      <w:r w:rsidRPr="00CE55B7">
        <w:rPr>
          <w:rFonts w:ascii="Tahoma" w:eastAsia="Times New Roman" w:hAnsi="Tahoma" w:cs="Tahoma"/>
          <w:i/>
          <w:lang w:val="id-ID"/>
        </w:rPr>
        <w:t>Journal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of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Business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and</w:t>
      </w:r>
      <w:r w:rsidR="00CE55B7">
        <w:rPr>
          <w:rFonts w:ascii="Tahoma" w:eastAsia="Times New Roman" w:hAnsi="Tahoma" w:cs="Tahoma"/>
          <w:i/>
          <w:lang w:val="id-ID"/>
        </w:rPr>
        <w:t xml:space="preserve"> </w:t>
      </w:r>
      <w:r w:rsidRPr="00CE55B7">
        <w:rPr>
          <w:rFonts w:ascii="Tahoma" w:eastAsia="Times New Roman" w:hAnsi="Tahoma" w:cs="Tahoma"/>
          <w:i/>
          <w:lang w:val="id-ID"/>
        </w:rPr>
        <w:t>Banking</w:t>
      </w:r>
      <w:r w:rsidRPr="00CE55B7">
        <w:rPr>
          <w:rFonts w:ascii="Tahoma" w:eastAsia="Times New Roman" w:hAnsi="Tahoma" w:cs="Tahoma"/>
        </w:rPr>
        <w:t>.</w:t>
      </w:r>
      <w:proofErr w:type="gramEnd"/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Vol.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1,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1.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Hlm: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hAnsi="Tahoma" w:cs="Tahoma"/>
          <w:lang w:val="id-ID"/>
        </w:rPr>
        <w:t>1-14.</w:t>
      </w:r>
    </w:p>
    <w:p w:rsidR="00047FE0" w:rsidRDefault="00047FE0" w:rsidP="00706790">
      <w:pPr>
        <w:spacing w:after="0" w:line="240" w:lineRule="auto"/>
        <w:ind w:left="709" w:hanging="709"/>
        <w:contextualSpacing/>
        <w:rPr>
          <w:rFonts w:ascii="Tahoma" w:eastAsia="Times New Roman" w:hAnsi="Tahoma" w:cs="Tahoma"/>
        </w:rPr>
      </w:pPr>
    </w:p>
    <w:p w:rsidR="00843135" w:rsidRPr="00CE55B7" w:rsidRDefault="00843135" w:rsidP="00706790">
      <w:pPr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lang w:val="id-ID"/>
        </w:rPr>
      </w:pPr>
      <w:r w:rsidRPr="00CE55B7">
        <w:rPr>
          <w:rFonts w:ascii="Tahoma" w:eastAsia="Times New Roman" w:hAnsi="Tahoma" w:cs="Tahoma"/>
          <w:lang w:val="id-ID"/>
        </w:rPr>
        <w:t>Undang-Undang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Republik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Indonesia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10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Tahun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1998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tentang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perubahan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Undang-Undang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No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7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Tahun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1992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tentang</w:t>
      </w:r>
      <w:r w:rsidR="00CE55B7">
        <w:rPr>
          <w:rFonts w:ascii="Tahoma" w:eastAsia="Times New Roman" w:hAnsi="Tahoma" w:cs="Tahoma"/>
          <w:lang w:val="id-ID"/>
        </w:rPr>
        <w:t xml:space="preserve"> </w:t>
      </w:r>
      <w:r w:rsidRPr="00CE55B7">
        <w:rPr>
          <w:rFonts w:ascii="Tahoma" w:eastAsia="Times New Roman" w:hAnsi="Tahoma" w:cs="Tahoma"/>
          <w:lang w:val="id-ID"/>
        </w:rPr>
        <w:t>perbankan.</w:t>
      </w:r>
      <w:r w:rsidR="00CE55B7">
        <w:rPr>
          <w:rFonts w:ascii="Tahoma" w:eastAsia="Times New Roman" w:hAnsi="Tahoma" w:cs="Tahoma"/>
          <w:lang w:val="id-ID"/>
        </w:rPr>
        <w:t xml:space="preserve"> </w:t>
      </w:r>
    </w:p>
    <w:p w:rsidR="00940AAD" w:rsidRPr="00CE55B7" w:rsidRDefault="00940AAD" w:rsidP="00BB24A4">
      <w:pPr>
        <w:spacing w:after="0" w:line="240" w:lineRule="auto"/>
        <w:contextualSpacing/>
        <w:rPr>
          <w:rFonts w:ascii="Tahoma" w:hAnsi="Tahoma" w:cs="Tahoma"/>
          <w:b/>
        </w:rPr>
      </w:pPr>
    </w:p>
    <w:sectPr w:rsidR="00940AAD" w:rsidRPr="00CE55B7" w:rsidSect="00BB24A4">
      <w:type w:val="continuous"/>
      <w:pgSz w:w="11906" w:h="16838" w:code="9"/>
      <w:pgMar w:top="1134" w:right="1134" w:bottom="1134" w:left="1134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2C" w:rsidRDefault="00FD642C" w:rsidP="00473BF1">
      <w:pPr>
        <w:spacing w:after="0" w:line="240" w:lineRule="auto"/>
      </w:pPr>
      <w:r>
        <w:separator/>
      </w:r>
    </w:p>
  </w:endnote>
  <w:endnote w:type="continuationSeparator" w:id="0">
    <w:p w:rsidR="00FD642C" w:rsidRDefault="00FD642C" w:rsidP="0047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7" w:rsidRPr="008720BD" w:rsidRDefault="008720BD" w:rsidP="008720BD">
    <w:pPr>
      <w:pStyle w:val="Footer"/>
      <w:pBdr>
        <w:top w:val="single" w:sz="4" w:space="1" w:color="auto"/>
      </w:pBdr>
      <w:rPr>
        <w:rFonts w:ascii="Monotype Corsiva" w:hAnsi="Monotype Corsiva"/>
      </w:rPr>
    </w:pPr>
    <w:r w:rsidRPr="004F753B">
      <w:rPr>
        <w:rFonts w:ascii="Monotype Corsiva" w:hAnsi="Monotype Corsiva"/>
      </w:rPr>
      <w:t>Jurnal Ek</w:t>
    </w:r>
    <w:r>
      <w:rPr>
        <w:rFonts w:ascii="Monotype Corsiva" w:hAnsi="Monotype Corsiva"/>
      </w:rPr>
      <w:t>onomi Volume 9 Nomor 2, November 2018</w:t>
    </w:r>
    <w:r w:rsidRPr="004F753B">
      <w:rPr>
        <w:rFonts w:ascii="Monotype Corsiva" w:hAnsi="Monotype Corsiva"/>
      </w:rPr>
      <w:t xml:space="preserve"> </w:t>
    </w:r>
    <w:r>
      <w:rPr>
        <w:rFonts w:ascii="Monotype Corsiva" w:hAnsi="Monotype Corsiva"/>
      </w:rPr>
      <w:t xml:space="preserve">         </w:t>
    </w:r>
    <w:r w:rsidR="0057524C">
      <w:rPr>
        <w:rFonts w:ascii="Monotype Corsiva" w:hAnsi="Monotype Corsiva"/>
      </w:rPr>
      <w:t xml:space="preserve">  </w:t>
    </w:r>
    <w:r w:rsidRPr="004F753B">
      <w:rPr>
        <w:rFonts w:ascii="Monotype Corsiva" w:hAnsi="Monotype Corsiva"/>
      </w:rPr>
      <w:fldChar w:fldCharType="begin"/>
    </w:r>
    <w:r w:rsidRPr="004F753B">
      <w:rPr>
        <w:rFonts w:ascii="Monotype Corsiva" w:hAnsi="Monotype Corsiva"/>
      </w:rPr>
      <w:instrText xml:space="preserve"> PAGE   \* MERGEFORMAT </w:instrText>
    </w:r>
    <w:r w:rsidRPr="004F753B">
      <w:rPr>
        <w:rFonts w:ascii="Monotype Corsiva" w:hAnsi="Monotype Corsiva"/>
      </w:rPr>
      <w:fldChar w:fldCharType="separate"/>
    </w:r>
    <w:r w:rsidR="00160DD4">
      <w:rPr>
        <w:rFonts w:ascii="Monotype Corsiva" w:hAnsi="Monotype Corsiva"/>
        <w:noProof/>
      </w:rPr>
      <w:t>118</w:t>
    </w:r>
    <w:r w:rsidRPr="004F753B">
      <w:rPr>
        <w:rFonts w:ascii="Monotype Corsiva" w:hAnsi="Monotype Corsiv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2C" w:rsidRDefault="00FD642C" w:rsidP="00473BF1">
      <w:pPr>
        <w:spacing w:after="0" w:line="240" w:lineRule="auto"/>
      </w:pPr>
      <w:r>
        <w:separator/>
      </w:r>
    </w:p>
  </w:footnote>
  <w:footnote w:type="continuationSeparator" w:id="0">
    <w:p w:rsidR="00FD642C" w:rsidRDefault="00FD642C" w:rsidP="0047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7" w:rsidRDefault="00CE55B7" w:rsidP="00CE55B7">
    <w:pPr>
      <w:spacing w:after="0" w:line="240" w:lineRule="auto"/>
      <w:contextualSpacing/>
      <w:jc w:val="center"/>
      <w:rPr>
        <w:rFonts w:ascii="Tahoma" w:hAnsi="Tahoma" w:cs="Tahoma"/>
        <w:b/>
      </w:rPr>
    </w:pPr>
  </w:p>
  <w:p w:rsidR="00CE55B7" w:rsidRPr="00CE55B7" w:rsidRDefault="00CE55B7" w:rsidP="00CE55B7">
    <w:pPr>
      <w:spacing w:after="0" w:line="240" w:lineRule="auto"/>
      <w:contextualSpacing/>
      <w:jc w:val="center"/>
      <w:rPr>
        <w:rFonts w:ascii="Monotype Corsiva" w:hAnsi="Monotype Corsiva" w:cs="Tahoma"/>
        <w:sz w:val="20"/>
        <w:szCs w:val="20"/>
      </w:rPr>
    </w:pPr>
    <w:r w:rsidRPr="00CE55B7">
      <w:rPr>
        <w:rFonts w:ascii="Monotype Corsiva" w:hAnsi="Monotype Corsiva" w:cs="Tahoma"/>
        <w:sz w:val="20"/>
        <w:szCs w:val="20"/>
        <w:lang w:val="id-ID"/>
      </w:rPr>
      <w:t xml:space="preserve">Pengaruh Faktor </w:t>
    </w:r>
    <w:r w:rsidRPr="00CE55B7">
      <w:rPr>
        <w:rFonts w:ascii="Monotype Corsiva" w:hAnsi="Monotype Corsiva" w:cs="Tahoma"/>
        <w:i/>
        <w:sz w:val="20"/>
        <w:szCs w:val="20"/>
        <w:lang w:val="id-ID"/>
      </w:rPr>
      <w:t>Risk Profiles, Good Corporate</w:t>
    </w:r>
    <w:r w:rsidRPr="00CE55B7">
      <w:rPr>
        <w:rFonts w:ascii="Monotype Corsiva" w:hAnsi="Monotype Corsiva" w:cs="Tahoma"/>
        <w:i/>
        <w:sz w:val="20"/>
        <w:szCs w:val="20"/>
      </w:rPr>
      <w:t xml:space="preserve"> </w:t>
    </w:r>
    <w:r w:rsidRPr="00CE55B7">
      <w:rPr>
        <w:rFonts w:ascii="Monotype Corsiva" w:hAnsi="Monotype Corsiva" w:cs="Tahoma"/>
        <w:i/>
        <w:sz w:val="20"/>
        <w:szCs w:val="20"/>
        <w:lang w:val="id-ID"/>
      </w:rPr>
      <w:t>Governance, Earning, Capital</w:t>
    </w:r>
    <w:r w:rsidRPr="00CE55B7">
      <w:rPr>
        <w:rFonts w:ascii="Monotype Corsiva" w:hAnsi="Monotype Corsiva" w:cs="Tahoma"/>
        <w:sz w:val="20"/>
        <w:szCs w:val="20"/>
        <w:lang w:val="id-ID"/>
      </w:rPr>
      <w:t xml:space="preserve"> </w:t>
    </w:r>
    <w:r w:rsidR="008720BD">
      <w:rPr>
        <w:rFonts w:ascii="Monotype Corsiva" w:hAnsi="Monotype Corsiva" w:cs="Tahoma"/>
        <w:sz w:val="20"/>
        <w:szCs w:val="20"/>
      </w:rPr>
      <w:t>d</w:t>
    </w:r>
    <w:r w:rsidR="008720BD">
      <w:rPr>
        <w:rFonts w:ascii="Monotype Corsiva" w:hAnsi="Monotype Corsiva" w:cs="Tahoma"/>
        <w:sz w:val="20"/>
        <w:szCs w:val="20"/>
        <w:lang w:val="id-ID"/>
      </w:rPr>
      <w:t xml:space="preserve">an Jenis Bank </w:t>
    </w:r>
    <w:r w:rsidR="008720BD">
      <w:rPr>
        <w:rFonts w:ascii="Monotype Corsiva" w:hAnsi="Monotype Corsiva" w:cs="Tahoma"/>
        <w:sz w:val="20"/>
        <w:szCs w:val="20"/>
      </w:rPr>
      <w:t>t</w:t>
    </w:r>
    <w:r w:rsidRPr="00CE55B7">
      <w:rPr>
        <w:rFonts w:ascii="Monotype Corsiva" w:hAnsi="Monotype Corsiva" w:cs="Tahoma"/>
        <w:sz w:val="20"/>
        <w:szCs w:val="20"/>
        <w:lang w:val="id-ID"/>
      </w:rPr>
      <w:t>erhadap Kinerja Keuangan Bank Umum</w:t>
    </w:r>
  </w:p>
  <w:p w:rsidR="00CE55B7" w:rsidRPr="00CE55B7" w:rsidRDefault="00CE55B7" w:rsidP="00CE55B7">
    <w:pPr>
      <w:spacing w:after="0" w:line="240" w:lineRule="auto"/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CDE"/>
    <w:multiLevelType w:val="hybridMultilevel"/>
    <w:tmpl w:val="E8BACF10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EB13E2"/>
    <w:multiLevelType w:val="hybridMultilevel"/>
    <w:tmpl w:val="F30462C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981BE4"/>
    <w:multiLevelType w:val="hybridMultilevel"/>
    <w:tmpl w:val="96F6D75A"/>
    <w:lvl w:ilvl="0" w:tplc="229AD7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C0F3A"/>
    <w:multiLevelType w:val="hybridMultilevel"/>
    <w:tmpl w:val="E398BB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237C"/>
    <w:multiLevelType w:val="hybridMultilevel"/>
    <w:tmpl w:val="0E1EED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062CB"/>
    <w:multiLevelType w:val="hybridMultilevel"/>
    <w:tmpl w:val="475039D4"/>
    <w:lvl w:ilvl="0" w:tplc="6A5A6D36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C587B"/>
    <w:multiLevelType w:val="hybridMultilevel"/>
    <w:tmpl w:val="ADBCB5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65BA"/>
    <w:multiLevelType w:val="hybridMultilevel"/>
    <w:tmpl w:val="1DFC8EB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E0133A"/>
    <w:multiLevelType w:val="hybridMultilevel"/>
    <w:tmpl w:val="C5D6492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706794"/>
    <w:multiLevelType w:val="hybridMultilevel"/>
    <w:tmpl w:val="DCC401E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D6437"/>
    <w:multiLevelType w:val="hybridMultilevel"/>
    <w:tmpl w:val="48ECD674"/>
    <w:lvl w:ilvl="0" w:tplc="33B8A19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471BB"/>
    <w:multiLevelType w:val="hybridMultilevel"/>
    <w:tmpl w:val="9C8071C6"/>
    <w:lvl w:ilvl="0" w:tplc="B70E03BC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2"/>
    <w:rsid w:val="00041084"/>
    <w:rsid w:val="0004219A"/>
    <w:rsid w:val="00047FE0"/>
    <w:rsid w:val="000A121F"/>
    <w:rsid w:val="000A5595"/>
    <w:rsid w:val="001070D0"/>
    <w:rsid w:val="00127D12"/>
    <w:rsid w:val="00160DD4"/>
    <w:rsid w:val="001B38DE"/>
    <w:rsid w:val="001F0891"/>
    <w:rsid w:val="002422A1"/>
    <w:rsid w:val="00322816"/>
    <w:rsid w:val="003343BD"/>
    <w:rsid w:val="00340ABF"/>
    <w:rsid w:val="003519C0"/>
    <w:rsid w:val="003F6CA5"/>
    <w:rsid w:val="004557A1"/>
    <w:rsid w:val="00473BF1"/>
    <w:rsid w:val="004B2A71"/>
    <w:rsid w:val="004E13D4"/>
    <w:rsid w:val="004F6D5B"/>
    <w:rsid w:val="005415E8"/>
    <w:rsid w:val="00543B76"/>
    <w:rsid w:val="0057524C"/>
    <w:rsid w:val="005A513E"/>
    <w:rsid w:val="005C5E53"/>
    <w:rsid w:val="006D2CFE"/>
    <w:rsid w:val="006E665D"/>
    <w:rsid w:val="00706790"/>
    <w:rsid w:val="00711430"/>
    <w:rsid w:val="007224AB"/>
    <w:rsid w:val="00750425"/>
    <w:rsid w:val="00754056"/>
    <w:rsid w:val="0076339C"/>
    <w:rsid w:val="00766537"/>
    <w:rsid w:val="0079648D"/>
    <w:rsid w:val="007A7DC4"/>
    <w:rsid w:val="00803CF8"/>
    <w:rsid w:val="00835227"/>
    <w:rsid w:val="00843135"/>
    <w:rsid w:val="008720BD"/>
    <w:rsid w:val="00872AE3"/>
    <w:rsid w:val="00876497"/>
    <w:rsid w:val="00882D81"/>
    <w:rsid w:val="008A52DF"/>
    <w:rsid w:val="008E589B"/>
    <w:rsid w:val="009004DB"/>
    <w:rsid w:val="0090263B"/>
    <w:rsid w:val="00940AAD"/>
    <w:rsid w:val="009A48AB"/>
    <w:rsid w:val="009B1F74"/>
    <w:rsid w:val="009E3B0A"/>
    <w:rsid w:val="00A42586"/>
    <w:rsid w:val="00A81399"/>
    <w:rsid w:val="00AF7FFC"/>
    <w:rsid w:val="00B17663"/>
    <w:rsid w:val="00B17966"/>
    <w:rsid w:val="00B33D0B"/>
    <w:rsid w:val="00B92FE2"/>
    <w:rsid w:val="00BB24A4"/>
    <w:rsid w:val="00C12B8B"/>
    <w:rsid w:val="00C7689B"/>
    <w:rsid w:val="00C92680"/>
    <w:rsid w:val="00CE55B7"/>
    <w:rsid w:val="00D0595A"/>
    <w:rsid w:val="00D177C1"/>
    <w:rsid w:val="00D63C36"/>
    <w:rsid w:val="00D7548E"/>
    <w:rsid w:val="00D82894"/>
    <w:rsid w:val="00D94EA1"/>
    <w:rsid w:val="00E42308"/>
    <w:rsid w:val="00EC4458"/>
    <w:rsid w:val="00F01AE3"/>
    <w:rsid w:val="00F57562"/>
    <w:rsid w:val="00F83928"/>
    <w:rsid w:val="00F95E11"/>
    <w:rsid w:val="00FB177A"/>
    <w:rsid w:val="00FD642C"/>
    <w:rsid w:val="00FE2389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F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7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F0891"/>
    <w:pPr>
      <w:ind w:left="720"/>
      <w:contextualSpacing/>
    </w:pPr>
  </w:style>
  <w:style w:type="table" w:styleId="MediumList1">
    <w:name w:val="Medium List 1"/>
    <w:basedOn w:val="TableNormal"/>
    <w:uiPriority w:val="65"/>
    <w:rsid w:val="001F08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1F0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1F08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1F08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link w:val="ListParagraph"/>
    <w:uiPriority w:val="1"/>
    <w:locked/>
    <w:rsid w:val="00F83928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48A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8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8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F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7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F0891"/>
    <w:pPr>
      <w:ind w:left="720"/>
      <w:contextualSpacing/>
    </w:pPr>
  </w:style>
  <w:style w:type="table" w:styleId="MediumList1">
    <w:name w:val="Medium List 1"/>
    <w:basedOn w:val="TableNormal"/>
    <w:uiPriority w:val="65"/>
    <w:rsid w:val="001F08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1F08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1F08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1F08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link w:val="ListParagraph"/>
    <w:uiPriority w:val="1"/>
    <w:locked/>
    <w:rsid w:val="00F83928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48A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8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jannah.endah@esaunggul.ac.id" TargetMode="External"/><Relationship Id="rId13" Type="http://schemas.openxmlformats.org/officeDocument/2006/relationships/hyperlink" Target="http://www.bi.go.i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.go.i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.go.i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.go.id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i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8900</Words>
  <Characters>50731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LUKMAN</cp:lastModifiedBy>
  <cp:revision>21</cp:revision>
  <cp:lastPrinted>2019-01-09T08:32:00Z</cp:lastPrinted>
  <dcterms:created xsi:type="dcterms:W3CDTF">2018-09-07T04:09:00Z</dcterms:created>
  <dcterms:modified xsi:type="dcterms:W3CDTF">2019-01-09T08:39:00Z</dcterms:modified>
</cp:coreProperties>
</file>